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kern w:val="0"/>
          <w:sz w:val="21"/>
          <w:szCs w:val="21"/>
          <w:u w:val="none"/>
          <w:lang w:val="en-US" w:eastAsia="zh-CN" w:bidi="ar"/>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kern w:val="0"/>
          <w:sz w:val="21"/>
          <w:szCs w:val="21"/>
          <w:u w:val="none"/>
          <w:lang w:val="en-US" w:eastAsia="zh-CN" w:bidi="ar"/>
        </w:rPr>
      </w:pPr>
      <w:r>
        <w:rPr>
          <w:rFonts w:ascii="微软雅黑" w:hAnsi="微软雅黑" w:eastAsia="微软雅黑" w:cs="微软雅黑"/>
          <w:i w:val="0"/>
          <w:caps w:val="0"/>
          <w:color w:val="222222"/>
          <w:spacing w:val="0"/>
          <w:sz w:val="36"/>
          <w:szCs w:val="36"/>
          <w:shd w:val="clear" w:fill="FFFFFF"/>
        </w:rPr>
        <w:t>2019年国民经济运行总体平稳 发展主要预期目标较好实现</w:t>
      </w:r>
    </w:p>
    <w:p>
      <w:pPr>
        <w:keepNext w:val="0"/>
        <w:keepLines w:val="0"/>
        <w:widowControl/>
        <w:suppressLineNumbers w:val="0"/>
        <w:wordWrap/>
        <w:spacing w:line="26" w:lineRule="atLeast"/>
        <w:ind w:left="0" w:firstLine="0"/>
        <w:jc w:val="center"/>
        <w:rPr>
          <w:rFonts w:hint="eastAsia"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（2020年1月17日）</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center"/>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国家统计局</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kern w:val="0"/>
          <w:sz w:val="21"/>
          <w:szCs w:val="21"/>
          <w:u w:val="none"/>
          <w:lang w:val="en-US" w:eastAsia="zh-CN" w:bidi="ar"/>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kern w:val="0"/>
          <w:sz w:val="21"/>
          <w:szCs w:val="21"/>
          <w:u w:val="none"/>
          <w:lang w:val="en-US" w:eastAsia="zh-CN" w:bidi="ar"/>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kern w:val="0"/>
          <w:sz w:val="21"/>
          <w:szCs w:val="21"/>
          <w:u w:val="none"/>
          <w:lang w:val="en-US" w:eastAsia="zh-CN" w:bidi="ar"/>
        </w:rPr>
      </w:pPr>
      <w:r>
        <w:rPr>
          <w:rFonts w:hint="default" w:ascii="Helvetica" w:hAnsi="Helvetica" w:eastAsia="Helvetica" w:cs="Helvetica"/>
          <w:b w:val="0"/>
          <w:i w:val="0"/>
          <w:caps w:val="0"/>
          <w:color w:val="393939"/>
          <w:spacing w:val="0"/>
          <w:kern w:val="0"/>
          <w:sz w:val="21"/>
          <w:szCs w:val="21"/>
          <w:u w:val="none"/>
          <w:lang w:val="en-US" w:eastAsia="zh-CN" w:bidi="ar"/>
        </w:rPr>
        <w:t>2019年，面对国内外风险挑战明显上升的复杂局面，在以习近平同志为核心的党中央坚强领导下，各地区各部门认真贯彻党中央、国务院决策部署，坚持稳中求进工作总基调，坚持新发展理念，坚持以供给侧结构性改革为主线，积极推动高质量发展，扎实做好稳就业、稳金融、稳外贸、稳外资、稳投资、稳预期工作，三大攻坚战取得关键进展，国民经济运行总体平稳，发展质量稳步提升，主要预期目标较好实现，为全面建成小康社会奠定了坚实基础。</w:t>
      </w:r>
    </w:p>
    <w:p>
      <w:pPr>
        <w:keepNext w:val="0"/>
        <w:keepLines w:val="0"/>
        <w:widowControl/>
        <w:suppressLineNumbers w:val="0"/>
        <w:wordWrap/>
        <w:spacing w:line="26" w:lineRule="atLeast"/>
        <w:ind w:left="0" w:firstLine="0"/>
        <w:jc w:val="left"/>
        <w:rPr>
          <w:rFonts w:hint="eastAsia"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初步核算，全年国内生产总值990865亿元，按可比价格计算，比上年增长6.1%，符合6%-6.5%的预期目标。分季度看，一季度同比增长6.4%，二季度增长6.2%，三季度增长6.0%，四季度增长6.0%。分产业看，第一产业增加值70467亿元，比上年增长3.1%；第二产业增加值386165亿元，增长5.7%；第三产业增加值534233亿元，增长6.9%。</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一、粮食产量创历史新高，牛羊禽蛋奶实现增长</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全国粮食总产量66384万吨，比上年增长0.9%，增产594万吨，连续5年保持在65000万吨以上。其中，夏粮产量14160万吨，增长2.0%；早稻产量2627万吨，下降8.1%；秋粮产量49597万吨，增长1.1%。分品种看，小麦产量13359万吨，增长1.6%；玉米产量26077万吨，增长1.4%；大豆产量1810万吨，增长13.3%。全年猪牛羊禽肉产量7649万吨，比上年下降10.2%。其中，牛肉产量667万吨，增长3.6%；羊肉产量488万吨，增长2.6%；禽肉产量2239万吨，增长12.3%；禽蛋产量3309万吨，增长5.8%；牛奶产量3201万吨，增长4.1%；猪肉产量4255万吨，下降21.3%。</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二、工业生产持续发展，高技术制造业和战略性新兴产业较快增长</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全国规模以上工业增加值比上年增长5.7%。分经济类型看，国有控股企业增加值增长4.8%；股份制企业增长6.8%，外商及港澳台商投资企业增长2.0%；私营企业增长7.7%。分三大门类看，采矿业增加值增长5.0%，制造业增长6.0%，电力、热力、燃气及水生产和供应业增长7.0%。高技术制造业和战略性新兴产业增加值分别比上年增长8.8%和8.4%，增速分别比规模以上工业快3.1和2.7个百分点。12月份，规模以上工业增加值同比增长6.9%，比上月加快0.7个百分点，环比增长0.58%。12月份，制造业采购经理指数（PMI）分项指数中，生产指数、新订单指数和供应商配送时间指数分别为53.2%，51.2%和51.1%，均高于临界点。制造业生产经营活动预期指数为54.4%，位于较高景气区间。</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1-11月份，全国规模以上工业企业实现利润总额56101亿元，同比下降2.1%，降幅比1-10 月份收窄 0.8 个百分点；其中11 月份，规模以上工业企业利润总额同比增长5.4%，10 月份为下降 9.9%。</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三、服务业较快发展，现代服务业增势良好</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全国服务业生产指数比上年增长6.9%。信息传输、软件和信息技术服务业，租赁和商务服务业，金融业，交通运输、仓储和邮政业增加值分别增长18.7%、8.7%、7.2%和7.1%，增速分别快于第三产业11.8、1.8、0.3和0.2个百分点。1-11月份，规模以上服务业企业营业收入同比增长9.4%，其中，战略性新兴服务业、科技服务业和高技术服务业企业营业收入分别增长12.4%、12.0%和12.0%，增速分别快于全部规模以上服务业3.0、2.6和2.6个百分点；规模以上服务业企业营业利润增长3.5%。</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12月份，服务业商务活动指数为53.0%，继续位于荣枯线以上。其中铁路运输业、住宿业、电信广播电视和卫星传输服务、互联网软件信息技术服务、金融业、租赁及商务服务业等行业商务活动指数均位于55.0%以上的较高景气区间。从市场预期看，服务业业务活动预期指数为59.1%，增长势头较好。</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四、市场销售平稳增长，网上零售占比明显提高</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社会消费品零售总额411649亿元，比上年增长8.0%。其中，限额以上单位消费品零售额148010亿元，增长3.9%。按经营单位所在地分，城镇消费品零售额351317亿元，增长7.9%；乡村消费品零售额60332亿元，增长9.0%。按消费类型分，餐饮收入 46721亿元，增长9.4%；商品零售364928亿元，增长7.9%。消费升级类商品较快增长，全年限额以上单位化妆品类、通讯器材类、体育娱乐用品类、家用电器和音像器材类商品零售额增速分别比限额以上消费品零售额增速快8.7、4.6、4.1、1.7个百分点。12月份，社会消费品零售总额同比增长8.0%，环比增长0.53%。</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全年全国网上零售额106324亿元，比上年增长16.5%。其中，实物商品网上零售额85239亿元，增长19.5%，占社会消费品零售总额的比重为20.7%，比上年提高2.3个百分点。</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五、固定资产投资平稳增长，高技术产业投资增长较快</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全国固定资产投资（不含农户）551478亿元，比上年增长5.4%。分领域看，基础设施投资增长3.8%，制造业投资增长3.1%，房地产开发投资增长9.9%。全国商品房销售面积171558万平方米，下降0.1%；商品房销售额159725亿元，增长6.5%。分产业看，第一产业投资增长0.6%，第二产业投资增长3.2%，第三产业投资增长6.5%。民间投资311159亿元，增长4.7%。高技术产业投资增长17.3%，快于全部投资11.9个百分点，其中高技术制造业和高技术服务业投资分别增长17.7%和16.5%。社会领域投资增长13.2%，快于全部投资7.8个百分点，其中教育，文化、体育和娱乐业投资分别增长17.7%和13.9%。12月份，固定资产投资环比增长0.44%。</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六、对外贸易逆势增长，一般贸易占比继续提升</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货物进出口总额315446亿元，比上年增长3.4%。其中，出口172298亿元，增长5.0%；进口143148亿元，增长1.6%。进出口相抵，顺差为29150亿元。一般贸易进出口占进出口总额的比重为59.0%，比上年提高1.2个百分点。机电产品出口增长4.4%，占出口总额的58.4%。我国对欧盟、东盟进出口分别增长8.0%和14.1%；与“一带一路”沿线国家进出口增势良好，对“一带一路”沿线国家合计进出口增长10.8%，高出货物进出口总额增速7.4个百分点。全年规模以上工业企业实现出口交货值124216亿元，比上年增长1.3%。</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七、居民消费价格涨幅符合预期目标，工业生产者价格小幅下降</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居民消费价格比上年上涨2.9%，符合3%左右的预期目标。其中，城市上涨2.8%，农村上涨3.2%。分类别看，食品烟酒价格上涨7.0%，衣着上涨1.6%，居住上涨1.4%，生活用品及服务上涨0.9%，交通和通信下降1.7%，教育文化和娱乐上涨2.2%，医疗保健上涨2.4%，其他用品和服务上涨3.4%。在食品烟酒价格中，粮食价格上涨0.5%，鲜菜价格上涨4.1%，猪肉价格上涨42.5%。扣除食品和能源价格的核心CPI上涨1.6%，涨幅比上年回落0.3个百分点。12月份，居民消费价格同比上涨4.5%，环比与上月持平。全年工业生产者出厂价格比上年下降0.3%，12月份同比下降0.5%，环比与上月持平。全年工业生产者购进价格比上年下降0.7%，12月份同比下降1.3%，环比与上月持平。</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八、就业形势保持稳定，城镇调查失业率符合预期目标</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城镇新增就业1352万人，连续7年保持在1300万人以上，明显高于1100万人以上的预期目标，完成全年目标的122.9%。12月份，全国城镇调查失业率为5.2%，2019年各月全国城镇调查失业率保持在5.0%-5.3%之间，实现了低于5.5%左右的预期目标。全国主要就业人员群体25-59岁人口调查失业率为4.7%。12月份，31个大城市城镇调查失业率为5.2%。2019年末，城镇登记失业率为3.62%，比上年末降低0.18个百分点，符合4.5%以内的预期目标。年末全国就业人员77471万人，其中城镇就业人员44247万人。全年农民工总量29077万人，比上年增加241万人，增长0.8%。其中，本地农民工11652万人，增长0.7%；外出农民工17425万人，增长0.9%。农民工月均收入水平3962元，比上年增长6.5%。</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九、居民收入增长与经济增长基本同步，城乡居民人均收入比值继续缩小</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全国居民人均可支配收入30733元，比上年名义增长8.9%，增速比上年加快0.2个百分点；扣除价格因素实际增长5.8%，与经济增长基本同步，与人均GDP增长大体持平。按常住地分，城镇居民人均可支配收入42359元，比上年名义增长7.9%，扣除价格因素实际增长5.0%；农村居民人均可支配收入16021元，比上年名义增长9.6%，扣除价格因素实际增长6.2%。城乡居民人均收入比值为2.64，比上年缩小0.05。全国居民人均可支配收入中位数26523元，比上年名义增长9.0%。按全国居民五等份收入分组，低收入组人均可支配收入7380元，中间偏下收入组人均可支配收入15777元，中间收入组人均可支配收入25035元，中间偏上收入组人均可支配收入39230元，高收入组人均可支配收入76401元。</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年全国居民人均消费支出21559元，比上年名义增长8.6%，增速比上年加快0.2个百分点；扣除价格因素实际增长5.5%。按常住地分，城镇居民人均消费支出28063元，名义增长7.5%；农村居民人均消费支出13328元，名义增长9.9%。</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十、重点改革和攻坚任务扎实推进，经济转型升级态势持续</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供给侧结构性改革成效显著。2019年全国工业产能利用率为76.6%，比上年提高0.1个百分点；其中石油和天然气开采业、黑色金属冶炼和压延加工业产能利用率分别为91.2%和80.0%，分别比上年提高2.9和2.0个百分点。企业资产负债率下降。11月末，规模以上工业企业资产负债率为56.9%，同比下降0.3个百分点。年末全国商品房待售面积49821万平方米，比上年末下降4.9%。企业单位成本费用比年初继续下降。补短板方面，薄弱环节投资较快增长。全年生态保护和环境治理业、环境监测及治理服务投资分别增长37.2%、33.4%，分别快于全部投资31.8、28.0个百分点。微观主体活力增强。2019年，新登记市场主体2377万户，日均新登记企业2万户，活跃度70%左右，年末市场主体总数达1.2亿户。三大攻坚战取得关键进展。全年1109万农村贫困人口实现脱贫。初步核算，天然气、水电、核电、风电等清洁能源消费量占能源消费总量的比重比上年提高1.0个百分点；万元国内生产总值能耗比上年继续下降，降幅为2.6%。11月末，全国地方政府债务余额213333亿元，控制在全国人大批准限额内。</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经济结构继续优化。全年第三产业增加值占国内生产总值的比重为53.9%，比上年提高0.6个百分点，高于第二产业14.9个百分点；对国内生产总值增长的贡献率为59.4%。消费作为经济增长主动力作用进一步巩固，最终消费支出对国内生产总值增长的贡献率为57.8%，高于资本形成总额26.6个百分点。居民消费升级提质。全国居民恩格尔系数为28.2%，比上年下降0.2个百分点。全年全国居民人均消费支出中，服务性消费支出占比为45.9%，比上年提高1.7个百分点。</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　　十一、人口总量平稳增长，城镇化率继续提高</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年末中国大陆总人口（包括31个省、自治区、直辖市和中国人民解放军现役军人，不包括香港、澳门特别行政区和台湾省以及海外华侨人数）140005万人，比上年末增加467万人。全年出生人口1465万人，人口出生率为10.48‰；死亡人口998万人，人口死亡率为7.14‰；人口自然增长率为3.34‰。从性别结构看，男性人口71527万人，女性人口68478万人，总人口性别比为104.45（以女性为100）。从年龄构成看，16至59周岁的劳动年龄人口89640万人，占总人口的比重为64.0%；60周岁及以上人口25388万人，占总人口的18.1%，其中65周岁及以上人口17603万人，占总人口的12.6%。从城乡结构看，城镇常住人口84843万人，比上年末增加1706万人；乡村常住人口55162万人，减少1239万人；城镇人口占总人口比重（城镇化率）为60.60%，比上年末提高1.02个百分点。全国人户分离人口（即居住地和户口登记地不在同一个乡镇街道且离开户口登记地半年以上的人口）2.80亿人，比上年末减少613万人；其中流动人口2.36亿人，比上年末减少515万人。</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总的来看，2019年国民经济继续保持了总体平稳、稳中有进发展态势。同时也要看到，当前世界经济贸易增长放缓，动荡源和风险点增多，国内结构性体制性周期性问题交织，经济下行压力依然较大。下阶段，要坚持以习近平新时代中国特色社会主义思想为指导，按照党中央、国务院决策部署，坚持稳中求进工作总基调，坚持新发展理念和推动高质量发展，坚持以供给侧结构性改革为主线，坚持以改革开放为动力，坚决打赢三大攻坚战，全面做好“六稳”工作，统筹推进稳增长、促改革、调结构、惠民生、防风险、保稳定，保持经济运行在合理区间，确保全面建成小康社会和“十三五”规划圆满收官。</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附注</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（1）国内生产总值、规模以上工业增加值及其分类项目增长速度按可比价计算，为实际增长速度；其他指标除特殊说明外，按现价计算，为名义增长速度。</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2）根据季节调整模型自动修正结果，对近一年来各期国内生产总值、规模以上工业增加值、固定资产投资（不含农户）、社会消费品零售总额环比增速进行修订。修订结果及2019年四季度GDP环比数据、2019年12月份其他指标环比数据如下：</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2018年及2019年各季度GDP环比增速分别为1.5%、1.8%、1.6%、1.5%、1.4%、1.6%、1.4%和1.5%。</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tbl>
      <w:tblPr>
        <w:tblW w:w="4200" w:type="dxa"/>
        <w:tblInd w:w="0" w:type="dxa"/>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shd w:val="clear"/>
        <w:tblLayout w:type="autofit"/>
        <w:tblCellMar>
          <w:top w:w="0" w:type="dxa"/>
          <w:left w:w="0" w:type="dxa"/>
          <w:bottom w:w="0" w:type="dxa"/>
          <w:right w:w="0" w:type="dxa"/>
        </w:tblCellMar>
      </w:tblPr>
      <w:tblGrid>
        <w:gridCol w:w="1050"/>
        <w:gridCol w:w="1050"/>
        <w:gridCol w:w="1050"/>
        <w:gridCol w:w="1050"/>
      </w:tblGrid>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0" w:type="auto"/>
            <w:gridSpan w:val="4"/>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i w:val="0"/>
                <w:color w:val="393939"/>
                <w:sz w:val="21"/>
                <w:szCs w:val="21"/>
                <w:u w:val="none"/>
              </w:rPr>
            </w:pPr>
            <w:r>
              <w:rPr>
                <w:rFonts w:hint="default" w:ascii="Helvetica" w:hAnsi="Helvetica" w:eastAsia="Helvetica" w:cs="Helvetica"/>
                <w:b/>
                <w:i w:val="0"/>
                <w:color w:val="393939"/>
                <w:kern w:val="0"/>
                <w:sz w:val="21"/>
                <w:szCs w:val="21"/>
                <w:u w:val="none"/>
                <w:bdr w:val="none" w:color="auto" w:sz="0" w:space="0"/>
                <w:lang w:val="en-US" w:eastAsia="zh-CN" w:bidi="ar"/>
              </w:rPr>
              <w:t>2019年各月份其他指标环比数据表</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规模以上工业增加值 环比增速（%）</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固定资产投资 （不含农户） 环比增速（%）</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社会消费品零售总额 环比增速（%）</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0.45</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0.46</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0.83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0.44</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0.45</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0.86</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0.44</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0.92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0.27</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0.43</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0.46</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0.42</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0.66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0.51</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0.45</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0.90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0.30</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0.43</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0.21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0.35</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0.41</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0.67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0.59</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0.44</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0.71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0.41</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0.41</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0.66</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0.42</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0.80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12月份</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0.58</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0.44</w:t>
            </w:r>
          </w:p>
        </w:tc>
        <w:tc>
          <w:tcPr>
            <w:tcW w:w="105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0.53</w:t>
            </w:r>
          </w:p>
        </w:tc>
      </w:tr>
    </w:tbl>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3）规模以上工业的统计范围为年主营业务收入2000万元及以上的工业企业。由于规模以上工业企业范围每年发生变化，为保证本年数据与上年可比，计算产品产量等各项指标同比增长速度所采用的同期数与本期的企业统计范围尽可能相一致，和上年公布的数据存在口径差异。主要原因：一是统计单位范围发生变化。每年有部分企业达到规模纳入调查范围，也有部分企业因规模变小退出调查范围，还有新建投产企业、破产、注（吊）销企业等影响。二是部分企业集团（公司）产品产量数据存在跨地区重复统计现象，根据专项调查对企业集团（公司）跨地区重复产量进行了剔重。</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（4）服务业生产指数是指剔除价格因素后，服务业报告期相对于基期的产出变化。</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5）社会消费品零售总额统计范围是：从事商品零售活动或提供餐饮服务的法人企业、产业活动单位和个体户。其中，限额以上单位是指年主营业务收入2000万元及以上的批发业企业（单位）、500万元及以上的零售业企业（单位）、200万元及以上的住宿和餐饮业企业（单位）。</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由于限额以上批发和零售业、住宿和餐饮业企业（单位）范围每年发生变化，为保证本年数据与上年可比，计算限额以上单位消费品零售额等各项指标同比增长速度所采用的同期数与本期的企业（单位）统计范围相一致，和上年公布的数据存在口径差异。主要原因：一是每年都有部分企业（单位）达到限额标准纳入调查范围，同时也有部分企业（单位）因规模变小达不到限额标准退出调查范围，还有新开业企业、破产、注（吊）销企业（单位）的影响。二是2019年月报结合第四次全国经济普查单位清查（2018年8月-12月）结果，对2018年底限额以上单位重新核实认定，对于未达到限额标准的企业（单位）纳入限额以下单位调查范围。</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网上零售额是指通过公共网络交易平台（包括自建网站和第三方平台）实现的商品和服务零售额之和。商品和服务包括实物商品和非实物商品（如虚拟商品、服务类商品等）。</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社会消费品零售总额包括实物商品网上零售额，不包括非实物商品网上零售额。</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（6）根据第四次全国经济普查、统计执法检查和统计制度规定，对上年同期固定资产投资数据进行修订，增速按可比口径计算。</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（7）就业人员是指16周岁及以上，有劳动能力，为取得劳动报酬或经营收入而从事一定社会劳动的人员。</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（8）农民工是指户籍仍在农村，进城务工和在当地或异地从事非农产业劳动6个月及以上的劳动者。本地农民工是指在户籍所在乡镇地域内从业的农民工。外出农民工是指在户籍所在乡镇地域外从业的农民工。</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（9）全国居民人均可支配收入中位数是指将所有调查户按人均可支配收入水平从低到高顺序排列，处于最中间位置的调查户的人均可支配收入。</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全国居民人均可支配收入五等份分组是指将所有调查户按人均收入水平从低到高顺序排列，平均分为五个等份，处于最高20%的收入群体为高收入组，依此类推依次为中间偏上收入组、中间收入组、中间偏下收入组、低收入组。</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（10）流动人口是指人户分离人口中扣除市辖区内人户分离的人口。市辖区内人户分离人口是指一个直辖市或地级市所辖区内和区与区之间，居住地和户口登记地不在同一乡镇街道的人口。</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　　（11）进出口数据来源于海关总署；城镇新增就业人口、城镇登记失业率数据来源于人力资源和社会保障部；市场主体相关指标数据来源于国家市场监督管理总局；地方政府债务余额数据来源于财政部。</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val="0"/>
          <w:i w:val="0"/>
          <w:caps w:val="0"/>
          <w:color w:val="393939"/>
          <w:spacing w:val="0"/>
          <w:kern w:val="0"/>
          <w:sz w:val="21"/>
          <w:szCs w:val="21"/>
          <w:u w:val="none"/>
          <w:lang w:val="en-US" w:eastAsia="zh-CN" w:bidi="ar"/>
        </w:rPr>
        <w:t>（12）部分数据因四舍五入的原因，存在总计与分项合计不等的情况。</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r>
        <w:rPr>
          <w:rFonts w:hint="default" w:ascii="Helvetica" w:hAnsi="Helvetica" w:eastAsia="Helvetica" w:cs="Helvetica"/>
          <w:b/>
          <w:i w:val="0"/>
          <w:caps w:val="0"/>
          <w:color w:val="393939"/>
          <w:spacing w:val="0"/>
          <w:kern w:val="0"/>
          <w:sz w:val="21"/>
          <w:szCs w:val="21"/>
          <w:u w:val="none"/>
          <w:lang w:val="en-US" w:eastAsia="zh-CN" w:bidi="ar"/>
        </w:rPr>
        <w:t>附表</w:t>
      </w:r>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tbl>
      <w:tblPr>
        <w:tblW w:w="8316" w:type="dxa"/>
        <w:tblInd w:w="0" w:type="dxa"/>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shd w:val="clear"/>
        <w:tblLayout w:type="autofit"/>
        <w:tblCellMar>
          <w:top w:w="0" w:type="dxa"/>
          <w:left w:w="0" w:type="dxa"/>
          <w:bottom w:w="0" w:type="dxa"/>
          <w:right w:w="0" w:type="dxa"/>
        </w:tblCellMar>
      </w:tblPr>
      <w:tblGrid>
        <w:gridCol w:w="1761"/>
        <w:gridCol w:w="2310"/>
        <w:gridCol w:w="1725"/>
        <w:gridCol w:w="1425"/>
        <w:gridCol w:w="1095"/>
      </w:tblGrid>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8316" w:type="dxa"/>
            <w:gridSpan w:val="5"/>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2019年12月份及全年主要统计数据</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vMerge w:val="restart"/>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指 标</w:t>
            </w:r>
          </w:p>
        </w:tc>
        <w:tc>
          <w:tcPr>
            <w:tcW w:w="4035" w:type="dxa"/>
            <w:gridSpan w:val="2"/>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12月</w:t>
            </w:r>
          </w:p>
        </w:tc>
        <w:tc>
          <w:tcPr>
            <w:tcW w:w="2520" w:type="dxa"/>
            <w:gridSpan w:val="2"/>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1-12 月</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vMerge w:val="continue"/>
            <w:tcBorders>
              <w:top w:val="single" w:color="999999" w:sz="6" w:space="0"/>
              <w:left w:val="single" w:color="999999" w:sz="6" w:space="0"/>
              <w:bottom w:val="single" w:color="999999" w:sz="6" w:space="0"/>
              <w:right w:val="single" w:color="999999" w:sz="6" w:space="0"/>
            </w:tcBorders>
            <w:shd w:val="clear"/>
            <w:vAlign w:val="center"/>
          </w:tcPr>
          <w:p>
            <w:pPr>
              <w:jc w:val="center"/>
              <w:rPr>
                <w:rFonts w:hint="default" w:ascii="Helvetica" w:hAnsi="Helvetica" w:eastAsia="Helvetica" w:cs="Helvetica"/>
                <w:b w:val="0"/>
                <w:i w:val="0"/>
                <w:color w:val="393939"/>
                <w:sz w:val="21"/>
                <w:szCs w:val="21"/>
                <w:u w:val="none"/>
              </w:rPr>
            </w:pP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绝对量</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同比增长 （%）</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绝对量</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center"/>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同比增长 （%）</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二、农业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一、国内生产总值（亿元）</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278020 （四季度）</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6.0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990865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第一产业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27462 （四季度）</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3.4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70467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第二产业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109253 （四季度）</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5.8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386165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第三产业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141305 （四季度）</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6.6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534233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万元国内生产总值能耗</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粮食（万吨）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66384</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夏粮（万吨）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14160</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早稻（万吨）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2627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秋粮（万吨）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49597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棉花（万吨）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589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猪牛羊禽肉（万吨）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7649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其中：猪肉（万吨）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4255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-21.3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牛肉（万吨）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667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羊肉（万吨）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488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禽肉（万吨）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2239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生猪存栏（万头）</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31041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-27.5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生猪出栏（万头）</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54419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-21.6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禽蛋（万吨）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3309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牛奶（万吨）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3201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三、规模以上工业增加值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（一）分经济类型</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国有控股企业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7.0</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股份制企业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7.5</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外商及港澳台商投资企业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私营企业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7.1</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（二）分三大门类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采矿业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5.6</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制造业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7.0</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电力、热力、燃气及水生产和供应业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（三）主要行业增加值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纺织业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0.2</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化学原料和化学制品制造业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7.7</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非金属矿物制品业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黑色金属冶炼和压延加工业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10.7</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通用设备制造业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汽车制造业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铁路、船舶、航空航天和其他运输设备制造业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电气机械和器材制造业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计算机、通信和其他电子设备制造业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11.6</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电力、热力生产和供应业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7.0</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（四）主要产品产量</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发电量（亿千瓦时）</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6544</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3.5</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71422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生铁 (万吨)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6706</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6.0</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80937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原煤(万吨)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33174</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374589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粗钢 (万吨)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8427</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11.6</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99634</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钢材 (万吨)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10433</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11.3</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120477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水泥 (万吨)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19935</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233036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原油加工量（万吨）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5851</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13.6</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65198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十种有色金属 (万吨)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531</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4.7</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5842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焦炭（万吨）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3888</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47126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硫酸（折100％） (万吨)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792</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-5.7</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8936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烧碱（折100％） (万吨)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310</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1.6</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3464</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乙烯 (万吨)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186</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14.6</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2052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化学纤维 (万吨)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537</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9.3</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5953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平板玻璃 (万重量箱)</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8108</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7.1</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92670</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微型计算机设备 (万台)</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3189</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13.2</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34163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集成电路 (亿块)</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202</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30.0</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2018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汽车 (万辆)</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270.5</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8.1</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2552.8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其中：轿车 (万辆)</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97.3</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1018.2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（五）产品销售率（%）</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98.2</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-0.8 (百分点)</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97.9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 (百分点)</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（六）出口交货值（亿元）</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11708</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124216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四、服务业生产指数</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五、固定资产投资（不含农户） （亿元）</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551478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其中：民间投资</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311159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分产业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第一产业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12633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第二产业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163070</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第三产业</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375775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全国建筑业总产值（亿元）</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248446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全国建筑业房屋建筑施工面积 （亿平方米）</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144.2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六、房地产开发</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（一）房地产开发投资（亿元）</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132194</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其中：住宅</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97071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办公楼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6163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商业营业用房</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13226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（二）房屋施工面积（万平方米）</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893821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其中：住宅</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627673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办公楼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37252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商业营业用房</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100389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（三）房屋新开工面积（万平方米）</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227154</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其中：住宅</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167463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办公楼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7084</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商业营业用房</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18936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（四）房屋竣工面积（万平方米）</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95942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其中：住宅</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68011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办公楼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3923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商业营业用房</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10814</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（五）商品房销售面积（万平方米）</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171558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其中：住宅</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150144</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办公楼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3723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商业营业用房</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10173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-15.0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（六）商品房销售额（亿元）</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159725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其中：住宅</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139440</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办公楼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5329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-15.1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商业营业用房</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11141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-16.5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（七）房地产开发企业到位资金 （亿元）</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178609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其中：国内贷款</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25229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利用外资</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62.7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自筹资金</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58158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定金及预收款</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61359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个人按揭贷款</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27281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15.1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土地购置面积（万平方米）</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25822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商品房待售面积（万平方米）</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49821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七、社会消费品零售总额（亿元）</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38777</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8.0</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411649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其中：限额以上单位消费品零售额</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15338</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148010</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（一）按经营地分</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城镇</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32704</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351317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乡村</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6073</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9.1</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60332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（二）按消费类型分</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餐饮收入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4825</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9.1</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46721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其中：限额以上单位餐饮收入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914</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6.1</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9445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商品零售</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33952</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364928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其中：限额以上单位商品零售</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14424</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4.3</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138565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粮油、食品类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1465</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9.7</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14525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饮料类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198</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2099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烟酒类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411</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12.5</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3913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服装鞋帽、针纺织品类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1490</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13517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化妆品类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280</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2992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金银珠宝类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268</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3.7</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2606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日用品类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616</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6111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家用电器和音像器材类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930</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2.7</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9139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中西药品类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581</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8.2</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5907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文化办公用品类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333</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-11.5</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3228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家具类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212</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1970</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通讯器材类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447</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4839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石油及制品类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1815</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4.0</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20042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汽车类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4428</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39389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建筑及装潢材料类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227</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0.6</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2061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八、进出口（亿元）</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进出口总额</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30101</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12.7</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315446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出口额</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16697</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9.0</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172298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进口额</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13404</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17.7</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143148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九、居民消费价格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4.5</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其中：城市</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4.2</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农村</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5.3</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其中：食品</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非食品</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其中：消费品</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服务</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分类别</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食品烟酒</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衣着</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居住</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0.5</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生活用品及服务</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交通和通信</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-0.7</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教育文化和娱乐</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医疗保健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2.1</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其他用品和服务</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十、工业生产者出厂价格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-0.5</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生产资料</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采掘</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原材料</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加工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生活资料</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食品</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5.0</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衣着</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-0.1</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一般日用品</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0.1</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耐用消费品</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十一、工业生产者购进价格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燃料、动力类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-3.3</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黑色金属材料类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有色金属材料及电线类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-2.4</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化工原料类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木材及纸浆类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-3.1</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建筑材料及非金属类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2.8</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其它工业原材料及半成品类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农副产品类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6.6</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纺织原料类</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-2.9</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十二、固定资产投资价格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建筑安装工程</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0.9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材料费</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0.0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人工费</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3.2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机械使用费</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设备、工器具购置</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0.2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其他费用</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3.0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十三、农产品生产者价格</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28.5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农业产品</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-1.5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谷物</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-0.1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小麦</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-0.2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稻谷</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玉米</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2.5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油料</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2.4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糖料</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-3.0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蔬菜</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水果</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-4.6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茶叶</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2.7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烟叶</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2.3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林业产品</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1.8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木材</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饲养动物及其产品</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69.7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33.5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生猪（毛重）</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109.5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50.5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活牛（毛重）</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22.7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活羊（毛重）</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15.6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14.3</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活家禽（毛重）</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13.3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禽蛋</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9.5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渔业产品</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-0.3 （四季度）</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十四、居民收入和支出（元/人）</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（一）全国居民人均可支配收入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30733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按常住地分</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城镇居民</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42359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农村居民</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16021</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6.2</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按收入来源分</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工资性收入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17186</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经营净收入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5247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财产净收入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2619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10.1</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转移净收入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5680</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(二)全国居民人均可支配收入中位数</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26523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9.0</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(三)全国居民人均消费支出</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21559</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城镇居民</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28063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4.6</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农村居民</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13328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(四) 农民工总量（万人）</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29077</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0.8</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本地农民工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11652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0.7</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外出农民工</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17425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0.9</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农民工月均收入水平 （元/人）</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3962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6.5</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十五、人口</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wordWrap w:val="0"/>
              <w:spacing w:line="240" w:lineRule="auto"/>
              <w:jc w:val="left"/>
              <w:textAlignment w:val="center"/>
              <w:rPr>
                <w:rFonts w:hint="default" w:ascii="Helvetica" w:hAnsi="Helvetica" w:eastAsia="Helvetica" w:cs="Helvetica"/>
                <w:b w:val="0"/>
                <w:i w:val="0"/>
                <w:color w:val="393939"/>
                <w:sz w:val="21"/>
                <w:szCs w:val="21"/>
                <w:u w:val="none"/>
              </w:rPr>
            </w:pP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年末人口（万人）</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140005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467 （万人）</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出生人口（万人）</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1465</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-58 （万人）</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死亡人口（万人）</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998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 （万人）</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人口出生率（‰）</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10.48</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-0.46 （千分点）</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人口死亡率（‰）</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7.14</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0.01 （千分点）</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人口自然增长率（‰）</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3.34</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-0.47 （千分点）</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城镇人口（万人）</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84843</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1706 （万人）</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乡村人口（万人）</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55162</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-1239 （万人）</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761"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城镇人口占总人口比重（%）</w:t>
            </w:r>
          </w:p>
        </w:tc>
        <w:tc>
          <w:tcPr>
            <w:tcW w:w="2310"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7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w:t>
            </w:r>
          </w:p>
        </w:tc>
        <w:tc>
          <w:tcPr>
            <w:tcW w:w="142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60.60</w:t>
            </w:r>
          </w:p>
        </w:tc>
        <w:tc>
          <w:tcPr>
            <w:tcW w:w="1095" w:type="dxa"/>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righ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1.02 （百分点）</w:t>
            </w:r>
          </w:p>
        </w:tc>
      </w:tr>
      <w:tr>
        <w:tblPrEx>
          <w:tblBorders>
            <w:top w:val="single" w:color="A7A7A7" w:sz="6" w:space="0"/>
            <w:left w:val="single" w:color="A7A7A7" w:sz="6" w:space="0"/>
            <w:bottom w:val="single" w:color="A7A7A7" w:sz="6" w:space="0"/>
            <w:right w:val="single" w:color="A7A7A7"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8316" w:type="dxa"/>
            <w:gridSpan w:val="5"/>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center"/>
              <w:rPr>
                <w:rFonts w:hint="default" w:ascii="Helvetica" w:hAnsi="Helvetica" w:eastAsia="Helvetica" w:cs="Helvetica"/>
                <w:b w:val="0"/>
                <w:i w:val="0"/>
                <w:color w:val="393939"/>
                <w:sz w:val="21"/>
                <w:szCs w:val="21"/>
                <w:u w:val="none"/>
              </w:rPr>
            </w:pPr>
            <w:r>
              <w:rPr>
                <w:rFonts w:hint="default" w:ascii="Helvetica" w:hAnsi="Helvetica" w:eastAsia="Helvetica" w:cs="Helvetica"/>
                <w:b w:val="0"/>
                <w:i w:val="0"/>
                <w:color w:val="393939"/>
                <w:kern w:val="0"/>
                <w:sz w:val="21"/>
                <w:szCs w:val="21"/>
                <w:u w:val="none"/>
                <w:bdr w:val="none" w:color="auto" w:sz="0" w:space="0"/>
                <w:lang w:val="en-US" w:eastAsia="zh-CN" w:bidi="ar"/>
              </w:rPr>
              <w:t>注：1.国内生产总值、规模以上工业增加值及其分类项目增长速度均按可比价计算；全国及分城乡居民人均可支配收入和人均消费支出增速为实际增长速度，全国居民人均可支配收入分项增速、中位数增速为名义增速；其他指标增长速度均按现价计算。 2.全国建筑业企业指具有资质等级的总承包和专业承包建筑业企业，不含劳务分包建筑业企业。 3.农产品生产者价格指农产品生产者直接出售其产品时的价格。 4.进出口数据来源于海关总署。 5.此表中部分数据因四舍五入的原因，存在总计与分项合计不等的情况。</w:t>
            </w:r>
          </w:p>
        </w:tc>
      </w:tr>
    </w:tbl>
    <w:p>
      <w:pPr>
        <w:keepNext w:val="0"/>
        <w:keepLines w:val="0"/>
        <w:widowControl/>
        <w:suppressLineNumbers w:val="0"/>
        <w:wordWrap/>
        <w:spacing w:line="26" w:lineRule="atLeast"/>
        <w:ind w:left="0" w:firstLine="0"/>
        <w:jc w:val="left"/>
        <w:rPr>
          <w:rFonts w:hint="eastAsia" w:ascii="Helvetica" w:hAnsi="Helvetica" w:eastAsia="Helvetica" w:cs="Helvetica"/>
          <w:b w:val="0"/>
          <w:i w:val="0"/>
          <w:caps w:val="0"/>
          <w:color w:val="393939"/>
          <w:spacing w:val="0"/>
          <w:kern w:val="0"/>
          <w:sz w:val="21"/>
          <w:szCs w:val="21"/>
          <w:u w:val="none"/>
          <w:lang w:val="en-US" w:eastAsia="zh-CN" w:bidi="ar"/>
        </w:rPr>
      </w:pPr>
      <w:bookmarkStart w:id="0" w:name="_GoBack"/>
      <w:bookmarkEnd w:id="0"/>
    </w:p>
    <w:p>
      <w:pPr>
        <w:keepNext w:val="0"/>
        <w:keepLines w:val="0"/>
        <w:widowControl/>
        <w:suppressLineNumbers w:val="0"/>
        <w:wordWrap/>
        <w:spacing w:line="26" w:lineRule="atLeast"/>
        <w:ind w:left="0" w:firstLine="0"/>
        <w:jc w:val="left"/>
        <w:rPr>
          <w:rFonts w:hint="default" w:ascii="Helvetica" w:hAnsi="Helvetica" w:eastAsia="Helvetica" w:cs="Helvetica"/>
          <w:b w:val="0"/>
          <w:i w:val="0"/>
          <w:caps w:val="0"/>
          <w:color w:val="393939"/>
          <w:spacing w:val="0"/>
          <w:sz w:val="21"/>
          <w:szCs w:val="21"/>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67623"/>
    <w:rsid w:val="06A67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2020-01-20T09:11:00Z</dcterms:created>
  <dc:creator>晓羽</dc:creator>
  <cp:lastModifiedBy>晓羽</cp:lastModifiedBy>
  <dcterms:modified xsi:type="dcterms:W3CDTF">2020-01-20T09:15:52Z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