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A696C5">
      <w:pPr>
        <w:ind w:left="0" w:leftChars="0" w:firstLine="0" w:firstLineChars="0"/>
        <w:rPr>
          <w:rFonts w:hint="eastAsia" w:ascii="仿宋_GB2312" w:hAnsi="仿宋_GB2312" w:eastAsia="仿宋_GB2312" w:cs="仿宋_GB2312"/>
        </w:rPr>
      </w:pPr>
    </w:p>
    <w:p w14:paraId="3EF3700D">
      <w:pPr>
        <w:pStyle w:val="3"/>
        <w:widowControl w:val="0"/>
        <w:wordWrap/>
        <w:adjustRightInd/>
        <w:snapToGrid/>
        <w:spacing w:after="0"/>
        <w:ind w:left="0" w:leftChars="0" w:firstLine="0" w:firstLineChars="0"/>
        <w:jc w:val="center"/>
        <w:textAlignment w:val="auto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河北省2024年度有效降低全社会物流成本</w:t>
      </w:r>
    </w:p>
    <w:p w14:paraId="4790BAED">
      <w:pPr>
        <w:pStyle w:val="3"/>
        <w:widowControl w:val="0"/>
        <w:wordWrap/>
        <w:adjustRightInd/>
        <w:snapToGrid/>
        <w:spacing w:after="0"/>
        <w:ind w:left="0" w:leftChars="0" w:firstLine="0" w:firstLineChars="0"/>
        <w:jc w:val="center"/>
        <w:textAlignment w:val="auto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十大典型案例名单</w:t>
      </w:r>
    </w:p>
    <w:p w14:paraId="4FA96F69">
      <w:pPr>
        <w:pStyle w:val="2"/>
        <w:widowControl w:val="0"/>
        <w:wordWrap/>
        <w:adjustRightInd/>
        <w:snapToGrid/>
        <w:spacing w:before="164" w:line="578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楷体" w:hAnsi="楷体" w:eastAsia="楷体" w:cs="楷体"/>
        </w:rPr>
      </w:pPr>
      <w:r>
        <w:rPr>
          <w:rFonts w:hint="eastAsia" w:ascii="楷体" w:hAnsi="楷体" w:eastAsia="楷体" w:cs="楷体"/>
          <w:spacing w:val="6"/>
        </w:rPr>
        <w:t>（按企业名称拼音排序）</w:t>
      </w:r>
    </w:p>
    <w:p w14:paraId="56994D59">
      <w:pPr>
        <w:pStyle w:val="3"/>
        <w:widowControl w:val="0"/>
        <w:wordWrap/>
        <w:adjustRightInd/>
        <w:snapToGrid/>
        <w:spacing w:before="0" w:after="0" w:line="578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cs="仿宋_GB2312"/>
          <w:lang w:val="en-US" w:eastAsia="zh-CN"/>
        </w:rPr>
      </w:pPr>
      <w:r>
        <w:rPr>
          <w:rFonts w:hint="eastAsia" w:ascii="仿宋_GB2312" w:hAnsi="仿宋_GB2312" w:cs="仿宋_GB2312"/>
          <w:lang w:val="en-US" w:eastAsia="zh-CN"/>
        </w:rPr>
        <w:t>1.承德秋硕智慧物流有限公司：物恋云仓以电商全链路创新 驱动物流提质降本</w:t>
      </w:r>
    </w:p>
    <w:p w14:paraId="1CA4FCE1">
      <w:pPr>
        <w:pStyle w:val="3"/>
        <w:widowControl w:val="0"/>
        <w:wordWrap/>
        <w:adjustRightInd/>
        <w:snapToGrid/>
        <w:spacing w:after="0" w:line="578" w:lineRule="exact"/>
        <w:ind w:left="0" w:leftChars="0" w:right="0" w:firstLine="0" w:firstLineChars="0"/>
        <w:textAlignment w:val="auto"/>
        <w:outlineLvl w:val="9"/>
        <w:rPr>
          <w:rFonts w:hint="eastAsia" w:ascii="仿宋_GB2312" w:hAnsi="仿宋_GB2312" w:cs="仿宋_GB2312"/>
          <w:lang w:val="en-US" w:eastAsia="zh-CN"/>
        </w:rPr>
      </w:pPr>
      <w:r>
        <w:rPr>
          <w:rFonts w:hint="eastAsia" w:ascii="仿宋_GB2312" w:hAnsi="仿宋_GB2312" w:cs="仿宋_GB2312"/>
          <w:lang w:val="en-US" w:eastAsia="zh-CN"/>
        </w:rPr>
        <w:t>2.河北国储物流有限责任公司：发展共享物流，打造“仓配 运智能一体化 ”新模式</w:t>
      </w:r>
    </w:p>
    <w:p w14:paraId="384B09B3">
      <w:pPr>
        <w:pStyle w:val="3"/>
        <w:widowControl w:val="0"/>
        <w:wordWrap/>
        <w:adjustRightInd/>
        <w:snapToGrid/>
        <w:spacing w:after="0" w:line="578" w:lineRule="exact"/>
        <w:ind w:left="0" w:leftChars="0" w:right="0" w:firstLine="0" w:firstLineChars="0"/>
        <w:textAlignment w:val="auto"/>
        <w:outlineLvl w:val="9"/>
        <w:rPr>
          <w:rFonts w:hint="eastAsia" w:ascii="仿宋_GB2312" w:hAnsi="仿宋_GB2312" w:cs="仿宋_GB2312"/>
          <w:lang w:val="en-US" w:eastAsia="zh-CN"/>
        </w:rPr>
      </w:pPr>
      <w:r>
        <w:rPr>
          <w:rFonts w:hint="eastAsia" w:ascii="仿宋_GB2312" w:hAnsi="仿宋_GB2312" w:cs="仿宋_GB2312"/>
          <w:lang w:val="en-US" w:eastAsia="zh-CN"/>
        </w:rPr>
        <w:t>3.河北交投怡亚通供应链服务有限公司：打造县域特色产业 供应链平台,全链条协同降低物流成本</w:t>
      </w:r>
    </w:p>
    <w:p w14:paraId="5918E602">
      <w:pPr>
        <w:pStyle w:val="3"/>
        <w:widowControl w:val="0"/>
        <w:wordWrap/>
        <w:adjustRightInd/>
        <w:snapToGrid/>
        <w:spacing w:after="0" w:line="578" w:lineRule="exact"/>
        <w:ind w:left="0" w:leftChars="0" w:right="0" w:firstLine="0" w:firstLineChars="0"/>
        <w:textAlignment w:val="auto"/>
        <w:outlineLvl w:val="9"/>
        <w:rPr>
          <w:rFonts w:hint="eastAsia" w:ascii="仿宋_GB2312" w:hAnsi="仿宋_GB2312" w:cs="仿宋_GB2312"/>
          <w:lang w:val="en-US" w:eastAsia="zh-CN"/>
        </w:rPr>
      </w:pPr>
      <w:r>
        <w:rPr>
          <w:rFonts w:hint="eastAsia" w:ascii="仿宋_GB2312" w:hAnsi="仿宋_GB2312" w:cs="仿宋_GB2312"/>
          <w:lang w:val="en-US" w:eastAsia="zh-CN"/>
        </w:rPr>
        <w:t>4.河北首衡农副产品有限公司：京津冀协同发展下的农产品 流通新范式</w:t>
      </w:r>
    </w:p>
    <w:p w14:paraId="12D42B2A">
      <w:pPr>
        <w:pStyle w:val="3"/>
        <w:widowControl w:val="0"/>
        <w:wordWrap/>
        <w:adjustRightInd/>
        <w:snapToGrid/>
        <w:spacing w:after="0" w:line="578" w:lineRule="exact"/>
        <w:ind w:left="0" w:leftChars="0" w:right="0" w:firstLine="0" w:firstLineChars="0"/>
        <w:textAlignment w:val="auto"/>
        <w:outlineLvl w:val="9"/>
        <w:rPr>
          <w:rFonts w:hint="eastAsia" w:ascii="仿宋_GB2312" w:hAnsi="仿宋_GB2312" w:cs="仿宋_GB2312"/>
          <w:lang w:val="en-US" w:eastAsia="zh-CN"/>
        </w:rPr>
      </w:pPr>
      <w:r>
        <w:rPr>
          <w:rFonts w:hint="eastAsia" w:ascii="仿宋_GB2312" w:hAnsi="仿宋_GB2312" w:cs="仿宋_GB2312"/>
          <w:lang w:val="en-US" w:eastAsia="zh-CN"/>
        </w:rPr>
        <w:t>5.河钢集团供应链管理有限公司：供应链智慧物流平台创新 应用,助力制造企业可持续发展</w:t>
      </w:r>
    </w:p>
    <w:p w14:paraId="59092B65">
      <w:pPr>
        <w:pStyle w:val="3"/>
        <w:widowControl w:val="0"/>
        <w:wordWrap/>
        <w:adjustRightInd/>
        <w:snapToGrid/>
        <w:spacing w:after="0" w:line="578" w:lineRule="exact"/>
        <w:ind w:left="0" w:leftChars="0" w:right="0" w:firstLine="0" w:firstLineChars="0"/>
        <w:textAlignment w:val="auto"/>
        <w:outlineLvl w:val="9"/>
        <w:rPr>
          <w:rFonts w:hint="eastAsia" w:ascii="仿宋_GB2312" w:hAnsi="仿宋_GB2312" w:cs="仿宋_GB2312"/>
          <w:lang w:val="en-US" w:eastAsia="zh-CN"/>
        </w:rPr>
      </w:pPr>
      <w:r>
        <w:rPr>
          <w:rFonts w:hint="eastAsia" w:ascii="仿宋_GB2312" w:hAnsi="仿宋_GB2312" w:cs="仿宋_GB2312"/>
          <w:lang w:val="en-US" w:eastAsia="zh-CN"/>
        </w:rPr>
        <w:t>6.廊坊顺丰速运有限公司：人工智能+智慧物流设备推动物 流行业创新降本</w:t>
      </w:r>
    </w:p>
    <w:p w14:paraId="37F8BCFD">
      <w:pPr>
        <w:pStyle w:val="3"/>
        <w:widowControl w:val="0"/>
        <w:wordWrap/>
        <w:adjustRightInd/>
        <w:snapToGrid/>
        <w:spacing w:after="0" w:line="578" w:lineRule="exact"/>
        <w:ind w:left="0" w:leftChars="0" w:right="0" w:firstLine="0" w:firstLineChars="0"/>
        <w:textAlignment w:val="auto"/>
        <w:outlineLvl w:val="9"/>
        <w:rPr>
          <w:rFonts w:hint="eastAsia" w:ascii="仿宋_GB2312" w:hAnsi="仿宋_GB2312" w:cs="仿宋_GB2312"/>
          <w:lang w:val="en-US" w:eastAsia="zh-CN"/>
        </w:rPr>
      </w:pPr>
      <w:r>
        <w:rPr>
          <w:rFonts w:hint="eastAsia" w:ascii="仿宋_GB2312" w:hAnsi="仿宋_GB2312" w:cs="仿宋_GB2312"/>
          <w:lang w:val="en-US" w:eastAsia="zh-CN"/>
        </w:rPr>
        <w:t>7.润沃集团有限公司：全方位服务供应链上下游，助力降低 物流成本</w:t>
      </w:r>
    </w:p>
    <w:p w14:paraId="511AD936">
      <w:pPr>
        <w:pStyle w:val="3"/>
        <w:widowControl w:val="0"/>
        <w:wordWrap/>
        <w:adjustRightInd/>
        <w:snapToGrid/>
        <w:spacing w:after="0" w:line="578" w:lineRule="exact"/>
        <w:ind w:left="0" w:leftChars="0" w:right="0" w:firstLine="0" w:firstLineChars="0"/>
        <w:textAlignment w:val="auto"/>
        <w:outlineLvl w:val="9"/>
        <w:rPr>
          <w:rFonts w:hint="eastAsia" w:ascii="仿宋_GB2312" w:hAnsi="仿宋_GB2312" w:cs="仿宋_GB2312"/>
          <w:lang w:val="en-US" w:eastAsia="zh-CN"/>
        </w:rPr>
      </w:pPr>
      <w:r>
        <w:rPr>
          <w:rFonts w:hint="eastAsia" w:ascii="仿宋_GB2312" w:hAnsi="仿宋_GB2312" w:cs="仿宋_GB2312"/>
          <w:lang w:val="en-US" w:eastAsia="zh-CN"/>
        </w:rPr>
        <w:t>8.石家庄铁路物流中心：一站式全程运输服务，助力企业降 本增效</w:t>
      </w:r>
    </w:p>
    <w:p w14:paraId="06BEE230">
      <w:pPr>
        <w:pStyle w:val="3"/>
        <w:widowControl w:val="0"/>
        <w:wordWrap/>
        <w:adjustRightInd/>
        <w:snapToGrid/>
        <w:spacing w:after="0" w:line="578" w:lineRule="exact"/>
        <w:ind w:left="0" w:leftChars="0" w:right="0" w:firstLine="0" w:firstLineChars="0"/>
        <w:textAlignment w:val="auto"/>
        <w:outlineLvl w:val="9"/>
        <w:rPr>
          <w:rFonts w:hint="eastAsia" w:ascii="仿宋_GB2312" w:hAnsi="仿宋_GB2312" w:cs="仿宋_GB2312"/>
          <w:lang w:val="en-US" w:eastAsia="zh-CN"/>
        </w:rPr>
      </w:pPr>
      <w:r>
        <w:rPr>
          <w:rFonts w:hint="eastAsia" w:ascii="仿宋_GB2312" w:hAnsi="仿宋_GB2312" w:cs="仿宋_GB2312"/>
          <w:lang w:val="en-US" w:eastAsia="zh-CN"/>
        </w:rPr>
        <w:t>9.唐山胡子物流有限公司：龙髯数字物流平台链接产业，构 建降本增效新模式</w:t>
      </w:r>
    </w:p>
    <w:p w14:paraId="5B3001C8">
      <w:pPr>
        <w:pStyle w:val="3"/>
        <w:widowControl w:val="0"/>
        <w:wordWrap/>
        <w:adjustRightInd/>
        <w:snapToGrid/>
        <w:spacing w:after="0" w:line="578" w:lineRule="exact"/>
        <w:ind w:left="0" w:leftChars="0" w:right="0" w:firstLine="0" w:firstLineChars="0"/>
        <w:textAlignment w:val="auto"/>
        <w:outlineLvl w:val="9"/>
        <w:rPr>
          <w:rFonts w:hint="eastAsia" w:ascii="仿宋_GB2312" w:hAnsi="仿宋_GB2312" w:cs="仿宋_GB2312"/>
          <w:lang w:val="en-US" w:eastAsia="zh-CN"/>
        </w:rPr>
      </w:pPr>
      <w:r>
        <w:rPr>
          <w:rFonts w:hint="eastAsia" w:ascii="仿宋_GB2312" w:hAnsi="仿宋_GB2312" w:cs="仿宋_GB2312"/>
          <w:lang w:val="en-US" w:eastAsia="zh-CN"/>
        </w:rPr>
        <w:t>10.邢台圆汇物流有限公司： 圆通智慧物流赋能融合创新， 推动全流程提质增效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000"/>
    <w:rsid w:val="24BA335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ind w:firstLine="880" w:firstLineChars="20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Autospacing="0"/>
    </w:pPr>
  </w:style>
  <w:style w:type="paragraph" w:styleId="3">
    <w:name w:val="Body Text First Indent"/>
    <w:basedOn w:val="2"/>
    <w:qFormat/>
    <w:uiPriority w:val="0"/>
    <w:pPr>
      <w:ind w:firstLine="420" w:firstLineChars="1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629</Words>
  <Characters>653</Characters>
  <Lines>0</Lines>
  <Paragraphs>0</Paragraphs>
  <TotalTime>0</TotalTime>
  <ScaleCrop>false</ScaleCrop>
  <LinksUpToDate>false</LinksUpToDate>
  <CharactersWithSpaces>669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2025-03-24T06:27:00Z</dcterms:created>
  <dc:creator>华为</dc:creator>
  <cp:lastModifiedBy>韩珺</cp:lastModifiedBy>
  <cp:lastPrinted>2025-03-24T06:30:00Z</cp:lastPrinted>
  <dcterms:modified xsi:type="dcterms:W3CDTF">2025-03-26T08:14:23Z</dcterms:modified>
  <dc:title>我省发布有效降低全社会物流成本十大案例。3月21日，受省发展改革委委托，省物流与采购联合会发布了2024年度河北省有效降低全社会物流成本十大案例名单，河北交投怡亚通“县域特色产业供应链平台助力物流降成本”、河北国储物流“打造仓配运智能一体化共享物流新模式”、承德物恋云仓“以电商全链路驱动物流提质降本”、廊坊顺丰速运“人工智能+智慧物流新范式”等10个案例入选。这些案例具有较强的创新性，可复制、可推广，对提升物流效率、加快上下游企业协同、有效降低全社会物流成本，具有重要的示范和借鉴意义。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42569AC27A32487A86D56B6BC0942AB8</vt:lpwstr>
  </property>
  <property fmtid="{D5CDD505-2E9C-101B-9397-08002B2CF9AE}" pid="4" name="KSOTemplateDocerSaveRecord">
    <vt:lpwstr>eyJoZGlkIjoiN2VlOWViOWMwY2Y5ZTlkZTRkMWY5NzdjM2IzYjk2N2IiLCJ1c2VySWQiOiIzMDgyNjQyMjAifQ==</vt:lpwstr>
  </property>
</Properties>
</file>