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both"/>
        <w:rPr>
          <w:rFonts w:ascii="黑体" w:eastAsia="黑体" w:cs="仿宋_GB2312" w:hAnsi="黑体" w:hint="eastAsia"/>
          <w:kern w:val="0"/>
          <w:sz w:val="28"/>
          <w:szCs w:val="28"/>
          <w:lang w:eastAsia="zh-CN"/>
        </w:rPr>
      </w:pPr>
      <w:r>
        <w:rPr>
          <w:rFonts w:ascii="黑体" w:eastAsia="黑体" w:hAnsi="黑体" w:hint="eastAsia"/>
          <w:kern w:val="0"/>
          <w:sz w:val="28"/>
          <w:szCs w:val="28"/>
          <w:lang w:eastAsia="zh-CN"/>
        </w:rPr>
        <w:t>附件</w:t>
      </w:r>
    </w:p>
    <w:p>
      <w:pPr>
        <w:spacing w:line="560" w:lineRule="exact"/>
        <w:jc w:val="center"/>
        <w:rPr>
          <w:rFonts w:ascii="Times New Roman" w:hAnsi="Times New Roman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eastAsia="方正小标宋简体" w:cs="方正小标宋简体" w:hAnsi="方正小标宋简体" w:hint="eastAsia"/>
          <w:b w:val="0"/>
          <w:bCs w:val="0"/>
          <w:sz w:val="44"/>
          <w:szCs w:val="44"/>
          <w:lang w:eastAsia="zh-CN"/>
        </w:rPr>
      </w:pPr>
      <w:bookmarkStart w:id="0" w:name="OLE_LINK1"/>
      <w:bookmarkStart w:id="1" w:name="_GoBack"/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-9"/>
          <w:sz w:val="44"/>
          <w:szCs w:val="44"/>
          <w:lang w:eastAsia="zh-CN"/>
        </w:rPr>
        <w:t>秦皇岛市</w:t>
      </w: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-9"/>
          <w:sz w:val="44"/>
          <w:szCs w:val="44"/>
        </w:rPr>
        <w:t>推动“人工智能+”行动</w:t>
      </w: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-9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cs="方正小标宋简体" w:hAnsi="方正小标宋简体" w:hint="eastAsia"/>
          <w:b w:val="0"/>
          <w:bCs w:val="0"/>
          <w:spacing w:val="9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9"/>
          <w:sz w:val="44"/>
          <w:szCs w:val="44"/>
        </w:rPr>
        <w:t>(2025—2027年)</w:t>
      </w:r>
    </w:p>
    <w:p>
      <w:pPr>
        <w:spacing w:line="560" w:lineRule="exact"/>
        <w:jc w:val="center"/>
        <w:rPr>
          <w:rFonts w:ascii="楷体" w:eastAsia="楷体" w:cs="方正小标宋简体" w:hAnsi="楷体" w:hint="eastAsia"/>
          <w:kern w:val="0"/>
          <w:sz w:val="32"/>
          <w:szCs w:val="32"/>
        </w:rPr>
      </w:pPr>
      <w:r>
        <w:rPr>
          <w:rFonts w:ascii="楷体" w:eastAsia="楷体" w:cs="方正小标宋简体" w:hAnsi="楷体" w:hint="eastAsia"/>
          <w:kern w:val="0"/>
          <w:sz w:val="32"/>
          <w:szCs w:val="32"/>
          <w:lang w:eastAsia="zh-CN"/>
        </w:rPr>
        <w:t>（公开征求意见稿）</w:t>
      </w:r>
      <w:bookmarkEnd w:id="1"/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End w:id="0"/>
    </w:p>
    <w:p>
      <w:pPr>
        <w:overflowPunct w:val="0"/>
        <w:spacing w:line="552" w:lineRule="exact"/>
        <w:ind w:firstLineChars="200" w:firstLine="640"/>
        <w:jc w:val="both"/>
        <w:rPr>
          <w:rFonts w:ascii="仿宋" w:eastAsia="仿宋_GB2312" w:cs="黑体" w:hAnsi="仿宋" w:hint="eastAsia"/>
          <w:sz w:val="32"/>
          <w:szCs w:val="32"/>
        </w:rPr>
      </w:pPr>
      <w:r>
        <w:rPr>
          <w:rFonts w:ascii="仿宋" w:eastAsia="仿宋_GB2312" w:cs="黑体" w:hAnsi="仿宋" w:hint="eastAsia"/>
          <w:sz w:val="32"/>
          <w:szCs w:val="32"/>
        </w:rPr>
        <w:t>为贯彻落实国家、河北省“人工智能+”行动，推动人工智能与经济社会各行业领域广泛深度融合，深化京津冀人工智能产业协同，因地制宜发展新质生产力，构筑我市高质量发展的强大动能，结合我市实际，制定本行动</w:t>
      </w:r>
      <w:r>
        <w:rPr>
          <w:rFonts w:ascii="仿宋" w:eastAsia="仿宋_GB2312" w:cs="黑体" w:hAnsi="仿宋" w:hint="eastAsia"/>
          <w:sz w:val="32"/>
          <w:szCs w:val="32"/>
          <w:lang w:eastAsia="zh-CN"/>
          <w:highlight w:val="none"/>
        </w:rPr>
        <w:t>方案</w:t>
      </w:r>
      <w:r>
        <w:rPr>
          <w:rFonts w:ascii="仿宋" w:eastAsia="仿宋_GB2312" w:cs="黑体" w:hAnsi="仿宋" w:hint="eastAsia"/>
          <w:sz w:val="32"/>
          <w:szCs w:val="32"/>
        </w:rPr>
        <w:t>。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黑体" w:eastAsia="国标黑体" w:cs="国标黑体" w:hAnsi="国标黑体" w:hint="eastAsia"/>
          <w:sz w:val="32"/>
          <w:szCs w:val="32"/>
        </w:rPr>
      </w:pPr>
      <w:r>
        <w:rPr>
          <w:rFonts w:ascii="国标黑体" w:eastAsia="国标黑体" w:cs="国标黑体" w:hAnsi="国标黑体" w:hint="eastAsia"/>
          <w:sz w:val="32"/>
          <w:szCs w:val="32"/>
        </w:rPr>
        <w:t>一、目标任务</w:t>
      </w:r>
    </w:p>
    <w:p>
      <w:pPr>
        <w:overflowPunct w:val="0"/>
        <w:spacing w:line="552" w:lineRule="exact"/>
        <w:ind w:firstLineChars="200" w:firstLine="640"/>
        <w:jc w:val="both"/>
        <w:rPr>
          <w:rFonts w:ascii="仿宋" w:eastAsia="仿宋_GB2312" w:cs="黑体" w:hAnsi="仿宋" w:hint="eastAsia"/>
          <w:sz w:val="32"/>
          <w:szCs w:val="32"/>
        </w:rPr>
      </w:pPr>
      <w:r>
        <w:rPr>
          <w:rFonts w:ascii="仿宋" w:eastAsia="仿宋_GB2312" w:cs="黑体" w:hAnsi="仿宋" w:hint="eastAsia"/>
          <w:sz w:val="32"/>
          <w:szCs w:val="32"/>
        </w:rPr>
        <w:t>坚持政府引导、创新驱动、应用牵引、开放合作的原则，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紧密</w:t>
      </w:r>
      <w:r>
        <w:rPr>
          <w:rFonts w:ascii="仿宋" w:eastAsia="仿宋_GB2312" w:cs="黑体" w:hAnsi="仿宋" w:hint="eastAsia"/>
          <w:sz w:val="32"/>
          <w:szCs w:val="32"/>
        </w:rPr>
        <w:t>结合我市经济社会发展实际和产业基础优势，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强化支撑能力建设，优化产业发展生态</w:t>
      </w:r>
      <w:r>
        <w:rPr>
          <w:rFonts w:ascii="仿宋" w:eastAsia="仿宋_GB2312" w:cs="黑体" w:hAnsi="仿宋" w:hint="eastAsia"/>
          <w:sz w:val="32"/>
          <w:szCs w:val="32"/>
        </w:rPr>
        <w:t>，一体推进研发攻关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和</w:t>
      </w:r>
      <w:r>
        <w:rPr>
          <w:rFonts w:ascii="仿宋" w:eastAsia="仿宋_GB2312" w:cs="黑体" w:hAnsi="仿宋" w:hint="eastAsia"/>
          <w:sz w:val="32"/>
          <w:szCs w:val="32"/>
        </w:rPr>
        <w:t>应用迭代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，</w:t>
      </w:r>
      <w:r>
        <w:rPr>
          <w:rFonts w:ascii="仿宋" w:eastAsia="仿宋_GB2312" w:cs="黑体" w:hAnsi="仿宋" w:hint="eastAsia"/>
          <w:sz w:val="32"/>
          <w:szCs w:val="32"/>
        </w:rPr>
        <w:t>打通行业与人工智能融合壁垒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，推动人工智能在</w:t>
      </w:r>
      <w:r>
        <w:rPr>
          <w:rFonts w:ascii="仿宋" w:eastAsia="仿宋_GB2312" w:cs="黑体" w:hAnsi="仿宋" w:hint="eastAsia"/>
          <w:sz w:val="32"/>
          <w:szCs w:val="32"/>
        </w:rPr>
        <w:t>产业、教育、科技、民生、治理等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重点领域应用，</w:t>
      </w:r>
      <w:r>
        <w:rPr>
          <w:rFonts w:ascii="仿宋" w:eastAsia="仿宋_GB2312" w:cs="黑体" w:hAnsi="仿宋" w:hint="eastAsia"/>
          <w:sz w:val="32"/>
          <w:szCs w:val="32"/>
        </w:rPr>
        <w:t>加快千行百业智能化转型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，</w:t>
      </w:r>
      <w:r>
        <w:rPr>
          <w:rFonts w:ascii="仿宋" w:eastAsia="仿宋_GB2312" w:cs="黑体" w:hAnsi="仿宋" w:hint="eastAsia"/>
          <w:sz w:val="32"/>
          <w:szCs w:val="32"/>
        </w:rPr>
        <w:t>全面赋能我市经济社会发展，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打造</w:t>
      </w:r>
      <w:r>
        <w:rPr>
          <w:rFonts w:ascii="仿宋" w:eastAsia="仿宋_GB2312" w:cs="黑体" w:hAnsi="仿宋" w:hint="eastAsia"/>
          <w:sz w:val="32"/>
          <w:szCs w:val="32"/>
        </w:rPr>
        <w:t>全省领先的人工智能创新策源地和应用高地。到2027年底，打造5个对标全国领先水平的标杆型应用工程，形成100个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以上</w:t>
      </w:r>
      <w:r>
        <w:rPr>
          <w:rFonts w:ascii="仿宋" w:eastAsia="仿宋_GB2312" w:cs="黑体" w:hAnsi="仿宋" w:hint="eastAsia"/>
          <w:sz w:val="32"/>
          <w:szCs w:val="32"/>
        </w:rPr>
        <w:t>先进可用、自主可控的优秀行业应用成功案例。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黑体" w:eastAsia="国标黑体" w:cs="国标黑体" w:hAnsi="国标黑体" w:hint="eastAsia"/>
          <w:sz w:val="32"/>
          <w:szCs w:val="32"/>
        </w:rPr>
      </w:pPr>
      <w:r>
        <w:rPr>
          <w:rFonts w:ascii="国标黑体" w:eastAsia="国标黑体" w:cs="国标黑体" w:hAnsi="国标黑体" w:hint="eastAsia"/>
          <w:sz w:val="32"/>
          <w:szCs w:val="32"/>
        </w:rPr>
        <w:t>二、推动重点领域应用</w:t>
      </w:r>
    </w:p>
    <w:p>
      <w:pPr>
        <w:overflowPunct w:val="0"/>
        <w:spacing w:line="560" w:lineRule="exact"/>
        <w:ind w:firstLineChars="200" w:firstLine="640"/>
        <w:jc w:val="both"/>
        <w:rPr>
          <w:rFonts w:ascii="楷体_GB2312" w:eastAsia="楷体_GB2312" w:cs="黑体" w:hAnsi="楷体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(一）人工智能+旅游。</w:t>
      </w:r>
      <w:r>
        <w:rPr>
          <w:rFonts w:ascii="仿宋_GB2312" w:eastAsia="仿宋_GB2312" w:cs="仿宋_GB2312" w:hAnsi="仿宋_GB2312" w:hint="eastAsia"/>
          <w:sz w:val="32"/>
          <w:szCs w:val="32"/>
        </w:rPr>
        <w:t>培育覆盖更广、内容更丰富的智能文体旅游产品及消费业态，加快发展智能原生应用，提升文旅、赛事等领域服务品质，拓展文体应用场景。构建以人工智能为驱动的文体旅游新基建、新体验、新治理，在全市主要景区、文化场馆、赛事活动开展场景应用，为文旅产业升级、赛事体验优化提供支持，为游客带来更新颖、更震撼的体验。通过人工智能提升秦皇岛文旅大数据管理水平，建设集游客画像+舆情预警+视频监控+咨询投诉+旅行社行程监督等多功能为一体的智慧平台，实现“一云多端”管理体系。到2027年，开展应用场景不少于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10</w:t>
      </w:r>
      <w:r>
        <w:rPr>
          <w:rFonts w:ascii="仿宋_GB2312" w:eastAsia="仿宋_GB2312" w:cs="仿宋_GB2312" w:hAnsi="仿宋_GB2312" w:hint="eastAsia"/>
          <w:sz w:val="32"/>
          <w:szCs w:val="32"/>
        </w:rPr>
        <w:t>个。</w:t>
      </w:r>
      <w:r>
        <w:rPr>
          <w:rFonts w:ascii="楷体_GB2312" w:eastAsia="楷体_GB2312" w:cs="黑体" w:hAnsi="楷体" w:hint="eastAsia"/>
          <w:sz w:val="32"/>
          <w:szCs w:val="32"/>
        </w:rPr>
        <w:t>〔责任单位：市旅游文广局、市体育局，各县区政府（含秦皇岛开发区、北戴河新区管委会），以下均需各县区政府落实，不在列出〕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（二）人工智能+海洋。</w:t>
      </w:r>
      <w:r>
        <w:rPr>
          <w:rFonts w:ascii="仿宋" w:eastAsia="仿宋_GB2312" w:cs="黑体" w:hAnsi="仿宋" w:hint="eastAsia"/>
          <w:sz w:val="32"/>
          <w:szCs w:val="32"/>
        </w:rPr>
        <w:t>围绕我市海洋经济实际，加快推动人工智能在海洋开发、海工装备、港口建设、智慧渔业、海洋高质量数据集等领域的开发应用，探索人工智能赋能蓝色经济高质量发展新模式，形成一批“智汇海洋”新场景，不断提高海洋开发、利用、保护及综合管理能力，促进海陆融合发展。在海工装备领域，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围绕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深远海探采矿产业，谋划实施深远海探采矿装备研发制造项目，</w:t>
      </w:r>
      <w:r>
        <w:rPr>
          <w:rFonts w:ascii="仿宋" w:eastAsia="仿宋_GB2312" w:cs="黑体" w:hAnsi="仿宋" w:hint="eastAsia"/>
          <w:sz w:val="32"/>
          <w:szCs w:val="32"/>
        </w:rPr>
        <w:t>聚焦船舶与海洋工程装备、重型装备、发展清洁能源装备开展场景应用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；</w:t>
      </w:r>
      <w:r>
        <w:rPr>
          <w:rFonts w:ascii="仿宋" w:eastAsia="仿宋_GB2312" w:cs="黑体" w:hAnsi="仿宋" w:hint="eastAsia"/>
          <w:sz w:val="32"/>
          <w:szCs w:val="32"/>
        </w:rPr>
        <w:t>以人工智能赋能港口转型升级，打造更“智慧”的港口。结合海洋牧场建设、深远海养殖，加快探索智慧渔业新模式。到2027年，开展应用场景不少于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10</w:t>
      </w:r>
      <w:r>
        <w:rPr>
          <w:rFonts w:ascii="仿宋" w:eastAsia="仿宋_GB2312" w:cs="黑体" w:hAnsi="仿宋" w:hint="eastAsia"/>
          <w:sz w:val="32"/>
          <w:szCs w:val="32"/>
        </w:rPr>
        <w:t>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(责任单位：市海洋渔业局、市工信局、市发改委)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三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康养</w:t>
      </w:r>
      <w:r>
        <w:rPr>
          <w:rFonts w:ascii="国标楷体" w:eastAsia="国标楷体" w:cs="国标楷体" w:hAnsi="国标楷体" w:hint="eastAsia"/>
          <w:sz w:val="32"/>
          <w:szCs w:val="32"/>
        </w:rPr>
        <w:t>。</w:t>
      </w:r>
      <w:r>
        <w:rPr>
          <w:rFonts w:ascii="仿宋" w:eastAsia="仿宋_GB2312" w:cs="黑体" w:hAnsi="仿宋" w:hint="eastAsia"/>
          <w:sz w:val="32"/>
          <w:szCs w:val="32"/>
        </w:rPr>
        <w:t>充分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释放人工智能在</w:t>
      </w:r>
      <w:r>
        <w:rPr>
          <w:rFonts w:ascii="仿宋" w:eastAsia="仿宋_GB2312" w:cs="黑体" w:hAnsi="仿宋" w:hint="eastAsia"/>
          <w:sz w:val="32"/>
          <w:szCs w:val="32"/>
        </w:rPr>
        <w:t>医疗卫生、健康养老、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生物制造</w:t>
      </w:r>
      <w:r>
        <w:rPr>
          <w:rFonts w:ascii="仿宋" w:eastAsia="仿宋_GB2312" w:cs="黑体" w:hAnsi="仿宋" w:hint="eastAsia"/>
          <w:sz w:val="32"/>
          <w:szCs w:val="32"/>
        </w:rPr>
        <w:t>等领域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的应用潜力，打造</w:t>
      </w:r>
      <w:r>
        <w:rPr>
          <w:rFonts w:ascii="仿宋" w:eastAsia="仿宋_GB2312" w:cs="黑体" w:hAnsi="仿宋" w:hint="eastAsia"/>
          <w:sz w:val="32"/>
          <w:szCs w:val="32"/>
        </w:rPr>
        <w:t>创新应用场景。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医疗卫生领域，重点</w:t>
      </w:r>
      <w:r>
        <w:rPr>
          <w:rFonts w:ascii="仿宋" w:eastAsia="仿宋_GB2312" w:cs="黑体" w:hAnsi="仿宋" w:hint="eastAsia"/>
          <w:sz w:val="32"/>
          <w:szCs w:val="32"/>
        </w:rPr>
        <w:t>面向医疗服务、中医药特色、健康管理、公共卫生服务、医保辅助审核质控、医学科研等领域，支持我市医疗资源攻关医学影像数据智能分析、临床专病智能辅助决策、智能病历质控等关键场</w:t>
      </w:r>
      <w:r>
        <w:rPr>
          <w:rFonts w:ascii="仿宋_GB2312" w:eastAsia="仿宋_GB2312" w:cs="仿宋_GB2312" w:hAnsi="仿宋_GB2312" w:hint="eastAsia"/>
          <w:sz w:val="32"/>
          <w:szCs w:val="32"/>
        </w:rPr>
        <w:t>景，</w:t>
      </w:r>
      <w:r>
        <w:rPr>
          <w:rFonts w:ascii="仿宋_GB2312" w:eastAsia="仿宋_GB2312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加大科大讯飞AI诊疗助手、健康助手应用推广力度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  <w:lang w:val="en-US" w:eastAsia="zh-CN" w:bidi="ar-SA"/>
        </w:rPr>
        <w:t>，优化</w:t>
      </w:r>
      <w:r>
        <w:rPr>
          <w:rFonts w:ascii="仿宋_GB2312" w:eastAsia="仿宋_GB2312" w:cs="仿宋_GB2312" w:hAnsi="仿宋_GB2312" w:hint="eastAsia"/>
          <w:sz w:val="32"/>
          <w:szCs w:val="32"/>
        </w:rPr>
        <w:t>医疗卫生服务模式。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健康养老领域，</w:t>
      </w:r>
      <w:r>
        <w:rPr>
          <w:rFonts w:ascii="仿宋_GB2312" w:eastAsia="仿宋_GB2312" w:cs="仿宋_GB2312" w:hAnsi="仿宋_GB2312" w:hint="eastAsia"/>
          <w:sz w:val="32"/>
          <w:szCs w:val="32"/>
        </w:rPr>
        <w:t>积极探索人工智能+养老服务新模式、新路径，打造一体化服务平台，探索建立“养老服务地图”等高频应用场景，推动“养老”向“享老”转变。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lang w:eastAsia="zh-CN"/>
        </w:rPr>
        <w:t>生物制造领域，围绕合成生物技术筛选与优化、生物制造过程精准控制、中药智能化生产等场景，提升生物制造企业研发创新能力。</w:t>
      </w:r>
      <w:r>
        <w:rPr>
          <w:rFonts w:ascii="仿宋_GB2312" w:eastAsia="仿宋_GB2312" w:cs="仿宋_GB2312" w:hAnsi="仿宋_GB2312" w:hint="eastAsia"/>
          <w:sz w:val="32"/>
          <w:szCs w:val="32"/>
        </w:rPr>
        <w:t>到2027年，开展应用场景不少于1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 w:hAnsi="仿宋_GB2312" w:hint="eastAsia"/>
          <w:sz w:val="32"/>
          <w:szCs w:val="32"/>
        </w:rPr>
        <w:t>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(责任单位：市发改委、市卫健委、市工信局、市民政局、市医保局）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（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四</w:t>
      </w:r>
      <w:r>
        <w:rPr>
          <w:rFonts w:ascii="国标楷体" w:eastAsia="国标楷体" w:cs="国标楷体" w:hAnsi="国标楷体" w:hint="eastAsia"/>
          <w:sz w:val="32"/>
          <w:szCs w:val="32"/>
        </w:rPr>
        <w:t>）人工智能+能源。</w:t>
      </w:r>
      <w:r>
        <w:rPr>
          <w:rFonts w:ascii="仿宋" w:eastAsia="仿宋_GB2312" w:cs="黑体" w:hAnsi="仿宋" w:hint="eastAsia"/>
          <w:sz w:val="32"/>
          <w:szCs w:val="32"/>
        </w:rPr>
        <w:t>聚焦风电场智能监控、光伏运维优化、储能全周期管理、虚拟电厂协同调度等关键创新场景，支持企业开展风电场风速风向预测、光伏电站自动清洗、储能设备分析和寿命预测、虚拟电厂源网荷储协调控制等技术攻关，加快智能调度、储能及虚拟电厂技术的创新，围绕风电场和光伏电站的自动清洗、发电量预测、组件故障诊断，储能设施的设备状态分析、寿命预测、充放电策略优化，虚拟电厂的负荷预测、资源聚合、供需平衡调节，以及多场景下的智能调度等开展应用，为全省能源结构低碳转型提供秦皇岛经验。到2027年，开展应用场景不少于5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(责任单位：市发改委)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五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)人工智能+制造。</w:t>
      </w:r>
      <w:r>
        <w:rPr>
          <w:rFonts w:ascii="仿宋" w:eastAsia="仿宋_GB2312" w:cs="黑体" w:hAnsi="仿宋" w:hint="eastAsia"/>
          <w:sz w:val="32"/>
          <w:szCs w:val="32"/>
        </w:rPr>
        <w:t>围绕汽车零部件、高端装备、电子信息等特色产业，支持企业开发产品全生命周期质量管控等关键创新应用场景，打造智能制造大模型。汽车零部件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领域</w:t>
      </w:r>
      <w:r>
        <w:rPr>
          <w:rFonts w:ascii="仿宋" w:eastAsia="仿宋_GB2312" w:cs="黑体" w:hAnsi="仿宋" w:hint="eastAsia"/>
          <w:sz w:val="32"/>
          <w:szCs w:val="32"/>
        </w:rPr>
        <w:t>聚焦智能生产调度、质量检测、设备预测性维护、虚拟仿真测试、智能驾驶辅助、智能座舱交互、疲劳监测等场景加快创新应用。在高端装备领域，加快人工智能在企业设计、中试、生产、服务、运营全环节落地应用，重点在品控检验、工艺优化、客户服务等领域引入人工智能，推进加快企业数智化转型。</w:t>
      </w:r>
      <w:r>
        <w:rPr>
          <w:rFonts w:ascii="仿宋" w:eastAsia="仿宋_GB2312" w:cs="黑体" w:hAnsi="仿宋" w:hint="eastAsia"/>
          <w:color w:val="auto"/>
          <w:sz w:val="32"/>
          <w:szCs w:val="32"/>
          <w:lang w:eastAsia="zh-CN"/>
        </w:rPr>
        <w:t>在电子信息领域，通过人工智能赋能，巩固精密电子、医疗电子、智慧消防先发优势，重点推进宏启胜面向AI终端的电路板研发及产业化项目</w:t>
      </w:r>
      <w:r>
        <w:rPr>
          <w:rFonts w:ascii="仿宋" w:eastAsia="仿宋_GB2312" w:cs="黑体" w:hAnsi="仿宋" w:hint="eastAsia"/>
          <w:color w:val="auto"/>
          <w:sz w:val="32"/>
          <w:szCs w:val="32"/>
        </w:rPr>
        <w:t>。</w:t>
      </w:r>
      <w:r>
        <w:rPr>
          <w:rFonts w:ascii="仿宋" w:eastAsia="仿宋_GB2312" w:cs="黑体" w:hAnsi="仿宋" w:hint="eastAsia"/>
          <w:sz w:val="32"/>
          <w:szCs w:val="32"/>
        </w:rPr>
        <w:t>到2027年，开展应用场景不少于1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0</w:t>
      </w:r>
      <w:r>
        <w:rPr>
          <w:rFonts w:ascii="仿宋" w:eastAsia="仿宋_GB2312" w:cs="黑体" w:hAnsi="仿宋" w:hint="eastAsia"/>
          <w:sz w:val="32"/>
          <w:szCs w:val="32"/>
        </w:rPr>
        <w:t>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(责任单位：市工信局、市科技局、市发改委）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六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)人工智能十新型材料。</w:t>
      </w:r>
      <w:r>
        <w:rPr>
          <w:rFonts w:ascii="仿宋" w:eastAsia="仿宋_GB2312" w:cs="黑体" w:hAnsi="仿宋" w:hint="eastAsia"/>
          <w:sz w:val="32"/>
          <w:szCs w:val="32"/>
        </w:rPr>
        <w:t>围绕高端钢铁等金属材料、高端玻璃等非金属材料、前沿新材料的研发设计、关键工序中试验证、生产制造过程控制、能源利用效率提升、产品缺陷智能检测及质量管控等关键场景，支持企业开发行业大模型，打造云边端全栈自主可控的高价值场景创新应用解决方案。推动钢铁产品从原料级向材料级转变，在全省钢铁企业转型升级中走在前列。到2027年，开展应用场景不少于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5</w:t>
      </w:r>
      <w:r>
        <w:rPr>
          <w:rFonts w:ascii="仿宋" w:eastAsia="仿宋_GB2312" w:cs="黑体" w:hAnsi="仿宋" w:hint="eastAsia"/>
          <w:sz w:val="32"/>
          <w:szCs w:val="32"/>
        </w:rPr>
        <w:t>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市发改委、市工信局</w:t>
      </w:r>
      <w:r>
        <w:rPr>
          <w:rFonts w:ascii="国标楷体" w:eastAsia="国标楷体" w:cs="国标楷体" w:hAnsi="国标楷体" w:hint="eastAsia"/>
          <w:sz w:val="32"/>
          <w:szCs w:val="32"/>
        </w:rPr>
        <w:t>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七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)人工智能十机器人。</w:t>
      </w:r>
      <w:r>
        <w:rPr>
          <w:rFonts w:ascii="仿宋" w:eastAsia="仿宋_GB2312" w:cs="黑体" w:hAnsi="仿宋" w:hint="eastAsia"/>
          <w:sz w:val="32"/>
          <w:szCs w:val="32"/>
        </w:rPr>
        <w:t>围绕打造深度智能驱动、注重实际功能的应用机器人产业，支持机器人企业联合人工智能企业开展垂直大模型关键技术攻关，提升机器人的环境感知、任务规划、行为控制、人机交互、自主学习等能力。支持企业、高校院所共建机器人训练场，搭建基于应用场景的大模型训练数据库，提升机器人产品可靠性和智能化水平。支持企业开发应用垂类或场景大模型，围绕工业生产智能协作、复杂环境物料搬运、煤矿井下智能巡检、智能焊接应用、物流行业智能装卸等场景开展应用。到2027年，开展应用场景不少于5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(责任单位：市工信局、市发改委、市科技局)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八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)人工智能+农业。</w:t>
      </w:r>
      <w:r>
        <w:rPr>
          <w:rFonts w:ascii="仿宋" w:eastAsia="仿宋_GB2312" w:cs="黑体" w:hAnsi="仿宋" w:hint="eastAsia"/>
          <w:sz w:val="32"/>
          <w:szCs w:val="32"/>
        </w:rPr>
        <w:t>充分挖掘智慧植保、品质与病害鉴定等方面人工智能创新应用场景，鼓励支持种植养殖企业、农业社会化服务企业与人工智能研发企业、科创平台等联合创新，开展农田自适应感知、表型精准识别、农机行为控制等人工智能技术应用开发，围绕作物生长观测、水肥墒药一体化调控、病虫害预测预警、饲料营养动态优化、疾病诊断与健康预警、生产全流程溯源与质量管控等场景；支持有条件的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县区</w:t>
      </w:r>
      <w:r>
        <w:rPr>
          <w:rFonts w:ascii="仿宋" w:eastAsia="仿宋_GB2312" w:cs="黑体" w:hAnsi="仿宋" w:hint="eastAsia"/>
          <w:sz w:val="32"/>
          <w:szCs w:val="32"/>
        </w:rPr>
        <w:t>打造智慧农场、牧场，筑牢我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市</w:t>
      </w:r>
      <w:r>
        <w:rPr>
          <w:rFonts w:ascii="仿宋" w:eastAsia="仿宋_GB2312" w:cs="黑体" w:hAnsi="仿宋" w:hint="eastAsia"/>
          <w:sz w:val="32"/>
          <w:szCs w:val="32"/>
        </w:rPr>
        <w:t>农业高质量发展数字底座。到2027年，开展应用场景不少于5个。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(责任单位：市农业农村局、市发改委)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九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)人工智能+教育。</w:t>
      </w:r>
      <w:r>
        <w:rPr>
          <w:rFonts w:ascii="仿宋" w:eastAsia="仿宋_GB2312" w:cs="黑体" w:hAnsi="仿宋" w:hint="eastAsia"/>
          <w:sz w:val="32"/>
          <w:szCs w:val="32"/>
        </w:rPr>
        <w:t>加强中小学人工智能教育基地建设，鼓励有条件的学校搭建新型学习空间，创新教与学支持服务方式，推进规模化因材施教，提升学生人工智能素养。推动高校率先推动大模型在教育教学场景中的落地应用，探索个性化教学、精准化管理和智能化服务的创新模式。到2027年，开展应用场景不少于5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(责任单位：市教育局)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十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)人工智能+商贸物流。</w:t>
      </w:r>
      <w:r>
        <w:rPr>
          <w:rFonts w:ascii="仿宋" w:eastAsia="仿宋_GB2312" w:cs="黑体" w:hAnsi="仿宋" w:hint="eastAsia"/>
          <w:sz w:val="32"/>
          <w:szCs w:val="32"/>
        </w:rPr>
        <w:t>聚焦大宗商品交易、智能供应链、高效运输网络、智慧仓储管理等关键创新应用场景，鼓励开发商贸物流行业大模型，开展优化库存管理、货物存取序列排序、配送资源分配等人工智能技术应用开发，为行业提供数字化转型“新基建”。到2027年，开展应用场景不少于5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(责任单位：市外事商务局、市交通运输局、市邮政管理局、市发改委)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十一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)人工智能十交通。</w:t>
      </w:r>
      <w:r>
        <w:rPr>
          <w:rFonts w:ascii="仿宋" w:eastAsia="仿宋_GB2312" w:cs="黑体" w:hAnsi="仿宋" w:hint="eastAsia"/>
          <w:sz w:val="32"/>
          <w:szCs w:val="32"/>
        </w:rPr>
        <w:t>围绕道路安全、智慧交管、自动驾驶等核心创新应用场景，支持企业开发交通领域大模型，开展无人机交通执法、高速车路云一体化、高速路段智慧道路巡检、码头堆场管理、港航数字化管理等技术攻关与应用示范，加快交通强省、临港产业强省建设。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  <w:lang w:eastAsia="zh-CN"/>
        </w:rPr>
        <w:t>围绕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</w:rPr>
        <w:t>高速公路路网预测与调控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  <w:lang w:eastAsia="zh-CN"/>
        </w:rPr>
        <w:t>、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</w:rPr>
        <w:t>交通建设风险识别与预警功能、路面遗撒物识别等场景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  <w:lang w:eastAsia="zh-CN"/>
        </w:rPr>
        <w:t>，积极对接省直有关单位，在市域内高速公路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</w:rPr>
        <w:t>开展人工智能技术应用。</w:t>
      </w:r>
      <w:r>
        <w:rPr>
          <w:rFonts w:ascii="仿宋" w:eastAsia="仿宋_GB2312" w:cs="黑体" w:hAnsi="仿宋" w:hint="eastAsia"/>
          <w:sz w:val="32"/>
          <w:szCs w:val="32"/>
        </w:rPr>
        <w:t>到2027年，开展应用场景不少于10个。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(责任单位：市交通运输局、市海洋渔业局、市公安局、市工信局)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二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)人工智能+社会治理。</w:t>
      </w:r>
      <w:r>
        <w:rPr>
          <w:rFonts w:ascii="仿宋" w:eastAsia="仿宋_GB2312" w:cs="黑体" w:hAnsi="仿宋" w:hint="eastAsia"/>
          <w:sz w:val="32"/>
          <w:szCs w:val="32"/>
        </w:rPr>
        <w:t>加强人工智能在政务、安全生产监管、防灾减灾救灾、环境监测感知、公共安全预警、社会治安管理、市场监管等方面的应用，围绕政务办理、耕地保护、环境监测、矿山管理、危化监测、尾矿库监管、“三品一特”监管、知识产权保护、公平竞争审查等关键业务场景，探索实施穿透式监管和非现场监管，提升监测预警、监管执法、指挥决策、现场救援、社会动员等工作水平，切实推动监管治理体系和社会治理能力现代化水平跃升。推广应用“秦来”客户端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，</w:t>
      </w:r>
      <w:r>
        <w:rPr>
          <w:rFonts w:ascii="仿宋" w:eastAsia="仿宋_GB2312" w:cs="黑体" w:hAnsi="仿宋" w:hint="eastAsia"/>
          <w:sz w:val="32"/>
          <w:szCs w:val="32"/>
        </w:rPr>
        <w:t>加快治理领域大模型应用。到2027年，开展应用场景不少于10个</w:t>
      </w:r>
      <w:r>
        <w:rPr>
          <w:rFonts w:ascii="国标楷体" w:eastAsia="国标楷体" w:cs="国标楷体" w:hAnsi="国标楷体" w:hint="eastAsia"/>
          <w:sz w:val="32"/>
          <w:szCs w:val="32"/>
        </w:rPr>
        <w:t>。(责任单位：市数政局、市应急局、市公安局、市生态环境局、市资规局、市农业农村局、市市场监管局)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四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)人工智能十商业消费。</w:t>
      </w:r>
      <w:r>
        <w:rPr>
          <w:rFonts w:ascii="仿宋" w:eastAsia="仿宋_GB2312" w:cs="黑体" w:hAnsi="仿宋" w:hint="eastAsia"/>
          <w:sz w:val="32"/>
          <w:szCs w:val="32"/>
        </w:rPr>
        <w:t>推动人工智能在批发零售、餐饮住宿等商业场景应用，开展营销创意生成、多模态广告优化、消费风险预警、行程规划等场景建设。</w:t>
      </w:r>
      <w:r>
        <w:rPr>
          <w:rFonts w:ascii="仿宋" w:eastAsia="仿宋_GB2312" w:cs="黑体" w:hAnsi="仿宋" w:hint="eastAsia"/>
          <w:strike w:val="0"/>
          <w:dstrike w:val="0"/>
          <w:color w:val="auto"/>
          <w:sz w:val="32"/>
          <w:szCs w:val="32"/>
        </w:rPr>
        <w:t>到2027年，开展应用场景不少于10个。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(责任单位：市外事商务局)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三</w:t>
      </w:r>
      <w:r>
        <w:rPr>
          <w:rFonts w:ascii="国标楷体" w:eastAsia="国标楷体" w:cs="国标楷体" w:hAnsi="国标楷体" w:hint="eastAsia"/>
          <w:sz w:val="32"/>
          <w:szCs w:val="32"/>
        </w:rPr>
        <w:t>)人工智能十科学研究。</w:t>
      </w:r>
      <w:r>
        <w:rPr>
          <w:rFonts w:ascii="仿宋" w:eastAsia="仿宋_GB2312" w:cs="黑体" w:hAnsi="仿宋" w:hint="eastAsia"/>
          <w:sz w:val="32"/>
          <w:szCs w:val="32"/>
        </w:rPr>
        <w:t>探索人工智能牵引、多学科融合的科研范式，支持人工智能在自然科学、人文科学、社会科学领域应用，在生命健康、新材料等重点产业创新应用中推广“人类智能+机器智能”研发模式。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(责任单位：市科技局)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（十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五</w:t>
      </w:r>
      <w:r>
        <w:rPr>
          <w:rFonts w:ascii="国标楷体" w:eastAsia="国标楷体" w:cs="国标楷体" w:hAnsi="国标楷体" w:hint="eastAsia"/>
          <w:sz w:val="32"/>
          <w:szCs w:val="32"/>
        </w:rPr>
        <w:t>）人工智能十互联网治理。</w:t>
      </w:r>
      <w:r>
        <w:rPr>
          <w:rFonts w:ascii="仿宋" w:eastAsia="仿宋_GB2312" w:cs="黑体" w:hAnsi="仿宋" w:hint="eastAsia"/>
          <w:sz w:val="32"/>
          <w:szCs w:val="32"/>
        </w:rPr>
        <w:t>加强“人工智能十互联网治理”,提升风险防御能力，营造清朗有序的网络空间环境。丰富和深化政务、商务、金融、法律、国际合作等多领域创新应用实践，打造具有秦皇岛特色的人工智能原生用创新生态。加强“人工智能十互联网治理”,提升风险防御能力，营造清朗有序的网络空间环境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(责任单位：市网信办)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黑体" w:eastAsia="国标黑体" w:cs="国标黑体" w:hAnsi="国标黑体" w:hint="eastAsia"/>
          <w:sz w:val="32"/>
          <w:szCs w:val="32"/>
        </w:rPr>
      </w:pPr>
      <w:r>
        <w:rPr>
          <w:rFonts w:ascii="国标黑体" w:eastAsia="国标黑体" w:cs="国标黑体" w:hAnsi="国标黑体" w:hint="eastAsia"/>
          <w:sz w:val="32"/>
          <w:szCs w:val="32"/>
        </w:rPr>
        <w:t>三、强化支撑能力建设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(一)夯实算力供给基础。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依托海上光伏、海上风电新能源资源禀赋，构建“源网荷储一体化”协同运行供电模式，就近供电、聚合交易、就地消纳。立足智慧康养、影视制作等算力需求，建设亿广云数据产业园二期、海港人工智能计算中心、先进计算中心、青龙算谷共享中心、</w:t>
      </w:r>
      <w:r>
        <w:rPr>
          <w:rFonts w:ascii="仿宋" w:eastAsia="仿宋_GB2312" w:cs="黑体" w:hAnsi="仿宋"/>
          <w:sz w:val="32"/>
          <w:szCs w:val="32"/>
          <w:lang w:val="en-US" w:eastAsia="zh-CN"/>
        </w:rPr>
        <w:t>京能人工智能绿色算力中心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、毕氏集团智算数据中心等</w:t>
      </w:r>
      <w:r>
        <w:rPr>
          <w:rFonts w:ascii="仿宋" w:eastAsia="仿宋_GB2312" w:cs="黑体" w:hAnsi="仿宋"/>
          <w:sz w:val="32"/>
          <w:szCs w:val="32"/>
          <w:lang w:val="en-US" w:eastAsia="zh-CN"/>
        </w:rPr>
        <w:t>算力项目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。鼓励算力电力领域相关企业、高校、研究机构协同攻关，重点围绕高效储能技术、柔性直流与数据中心直流配电技术、算力网络传输效能等关键核心技术攻关，建立1-2个源网荷储一体化协同、离网型自组网电力算力协同典型场景，谋划实施海兰信风电融合型</w:t>
      </w:r>
      <w:r>
        <w:rPr>
          <w:rFonts w:ascii="仿宋" w:eastAsia="仿宋_GB2312" w:cs="黑体" w:hAnsi="仿宋"/>
          <w:sz w:val="32"/>
          <w:szCs w:val="32"/>
          <w:lang w:val="en-US" w:eastAsia="zh-CN"/>
        </w:rPr>
        <w:t>（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风机基座立式舱</w:t>
      </w:r>
      <w:r>
        <w:rPr>
          <w:rFonts w:ascii="仿宋" w:eastAsia="仿宋_GB2312" w:cs="黑体" w:hAnsi="仿宋"/>
          <w:sz w:val="32"/>
          <w:szCs w:val="32"/>
          <w:lang w:val="en-US" w:eastAsia="zh-CN"/>
        </w:rPr>
        <w:t>）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海底算力等项目。</w:t>
      </w:r>
      <w:r>
        <w:rPr>
          <w:rFonts w:ascii="仿宋" w:eastAsia="仿宋_GB2312" w:cs="黑体" w:hAnsi="仿宋" w:hint="eastAsia"/>
          <w:sz w:val="32"/>
          <w:szCs w:val="32"/>
        </w:rPr>
        <w:t>深度融入全国算力一张网，鼓励政府、高校院所、医院、小微企业等通过云服务使用智能算力，以算力入股、算力共享、算力错峰等业务模式推动闲置算力资源整合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，</w:t>
      </w:r>
      <w:r>
        <w:rPr>
          <w:rFonts w:ascii="仿宋" w:eastAsia="仿宋_GB2312" w:cs="黑体" w:hAnsi="仿宋" w:hint="eastAsia"/>
          <w:sz w:val="32"/>
          <w:szCs w:val="32"/>
        </w:rPr>
        <w:t>提升算力资源统筹调度能力和公共服务能力。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(责任单位：市发改委、市数政局、市工信局、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市通信管理办</w:t>
      </w:r>
      <w:r>
        <w:rPr>
          <w:rFonts w:ascii="国标楷体" w:eastAsia="国标楷体" w:cs="国标楷体" w:hAnsi="国标楷体" w:hint="eastAsia"/>
          <w:sz w:val="32"/>
          <w:szCs w:val="32"/>
        </w:rPr>
        <w:t>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(二)加强数据体系建设。</w:t>
      </w:r>
      <w:r>
        <w:rPr>
          <w:rFonts w:ascii="仿宋" w:eastAsia="仿宋_GB2312" w:cs="黑体" w:hAnsi="仿宋" w:hint="eastAsia"/>
          <w:sz w:val="32"/>
          <w:szCs w:val="32"/>
        </w:rPr>
        <w:t>充分挖掘我市汽车零部件、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医疗康养</w:t>
      </w:r>
      <w:r>
        <w:rPr>
          <w:rFonts w:ascii="仿宋" w:eastAsia="仿宋_GB2312" w:cs="黑体" w:hAnsi="仿宋" w:hint="eastAsia"/>
          <w:sz w:val="32"/>
          <w:szCs w:val="32"/>
        </w:rPr>
        <w:t>、港口等行业数据资源，鼓励企业提供高质量数据产品和专业化数据服务，推出一批高质量数据集和语料库，建设企业和行业可信数据空间，推动可信数据空间运营者与数据服务方开展价值协同和业务合作。支持设立数据业务独立经营主体，加大公共数据授权运营，推动公共数据与社会数据高效融合利用。到2027年，建设各类可信数据空间2个以上，构建行业高质量数据集</w:t>
      </w:r>
      <w:r>
        <w:rPr>
          <w:rFonts w:ascii="仿宋" w:eastAsia="仿宋_GB2312" w:cs="黑体" w:hAnsi="仿宋" w:hint="eastAsia"/>
          <w:sz w:val="32"/>
          <w:szCs w:val="32"/>
          <w:lang w:val="en-US" w:eastAsia="zh-CN"/>
        </w:rPr>
        <w:t>20</w:t>
      </w:r>
      <w:r>
        <w:rPr>
          <w:rFonts w:ascii="仿宋" w:eastAsia="仿宋_GB2312" w:cs="黑体" w:hAnsi="仿宋" w:hint="eastAsia"/>
          <w:sz w:val="32"/>
          <w:szCs w:val="32"/>
        </w:rPr>
        <w:t>个以上。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(责任单位：市数政局)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(三)搭建应用赋能平台。</w:t>
      </w:r>
      <w:r>
        <w:rPr>
          <w:rFonts w:ascii="仿宋" w:eastAsia="仿宋_GB2312" w:cs="黑体" w:hAnsi="仿宋" w:hint="eastAsia"/>
          <w:sz w:val="32"/>
          <w:szCs w:val="32"/>
        </w:rPr>
        <w:t>支持建设新一代智能算力技术创新中心等省级工程研究中心、制造业创新中心、技术创新中心等创新平台。支持建设“人工智能+”孵化器等赋能型平台，推动人工智能技术赋能共性技术攻关、科学设备研发、中试平台搭建。围绕重点行业领域，建设一批省级人工智能应用中试基地，孵化培育省内先进的人工智能企业和产业集群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(责任单位：市科技局、市发改委、市工信局)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(四)梯度引育优质企业。</w:t>
      </w:r>
      <w:r>
        <w:rPr>
          <w:rFonts w:ascii="仿宋" w:eastAsia="仿宋_GB2312" w:cs="黑体" w:hAnsi="仿宋" w:hint="eastAsia"/>
          <w:sz w:val="32"/>
          <w:szCs w:val="32"/>
        </w:rPr>
        <w:t>引育一批科研实力强、竞争力强、品牌知名度高的创新型企业，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培育</w:t>
      </w:r>
      <w:r>
        <w:rPr>
          <w:rFonts w:ascii="仿宋" w:eastAsia="仿宋_GB2312" w:cs="黑体" w:hAnsi="仿宋" w:hint="eastAsia"/>
          <w:sz w:val="32"/>
          <w:szCs w:val="32"/>
        </w:rPr>
        <w:t>一批创新和成果转化能力强、成长性好的高新技术企业，孵化一批科技属性强、发展潜力大的科技型中小企业，</w:t>
      </w:r>
      <w:r>
        <w:rPr>
          <w:rFonts w:ascii="仿宋" w:eastAsia="仿宋_GB2312" w:cs="黑体" w:hAnsi="仿宋" w:hint="eastAsia"/>
          <w:color w:val="auto"/>
          <w:sz w:val="32"/>
          <w:szCs w:val="32"/>
        </w:rPr>
        <w:t>争创一批</w:t>
      </w:r>
      <w:r>
        <w:rPr>
          <w:rFonts w:ascii="仿宋" w:eastAsia="仿宋_GB2312" w:cs="黑体" w:hAnsi="仿宋" w:hint="eastAsia"/>
          <w:color w:val="auto"/>
          <w:sz w:val="32"/>
          <w:szCs w:val="32"/>
          <w:lang w:eastAsia="zh-CN"/>
        </w:rPr>
        <w:t>省级专精特新企业</w:t>
      </w:r>
      <w:r>
        <w:rPr>
          <w:rFonts w:ascii="仿宋" w:eastAsia="仿宋_GB2312" w:cs="黑体" w:hAnsi="仿宋" w:hint="eastAsia"/>
          <w:color w:val="auto"/>
          <w:sz w:val="32"/>
          <w:szCs w:val="32"/>
        </w:rPr>
        <w:t>,</w:t>
      </w:r>
      <w:r>
        <w:rPr>
          <w:rFonts w:ascii="仿宋" w:eastAsia="仿宋_GB2312" w:cs="黑体" w:hAnsi="仿宋" w:hint="eastAsia"/>
          <w:sz w:val="32"/>
          <w:szCs w:val="32"/>
        </w:rPr>
        <w:t>加速推动人工智能产业集聚融合发展。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(责任单位：市外事商务局、市招商中心、市科技局、市工信局)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(五)加大人才引育力度。</w:t>
      </w:r>
      <w:r>
        <w:rPr>
          <w:rFonts w:ascii="仿宋" w:eastAsia="仿宋_GB2312" w:cs="黑体" w:hAnsi="仿宋" w:hint="eastAsia"/>
          <w:sz w:val="32"/>
          <w:szCs w:val="32"/>
        </w:rPr>
        <w:t>加强人工智能领域高端人才的交流引进，完善人工智能科研保障、职业支持和人才评价机制。深化职业院校校企合作，鼓励高校设立交叉学科，调整优化高校学科设置，推进人工智能全学段教育和全社会通识教育，加强高技能人才培养。打造一批人工智能产业孵化器，开展人工智能训练师、算法工程师、运维工程师等技能人才培训，加速集聚人工智能领域专业人才和团队</w:t>
      </w:r>
      <w:r>
        <w:rPr>
          <w:rFonts w:ascii="仿宋" w:eastAsia="仿宋_GB2312" w:cs="黑体" w:hAnsi="仿宋" w:hint="eastAsia"/>
          <w:sz w:val="32"/>
          <w:szCs w:val="32"/>
          <w:lang w:eastAsia="zh-CN"/>
        </w:rPr>
        <w:t>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(责任单位：市人社局、市教育局)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黑体" w:eastAsia="国标黑体" w:cs="国标黑体" w:hAnsi="国标黑体" w:hint="eastAsia"/>
          <w:sz w:val="32"/>
          <w:szCs w:val="32"/>
        </w:rPr>
      </w:pPr>
      <w:r>
        <w:rPr>
          <w:rFonts w:ascii="国标黑体" w:eastAsia="国标黑体" w:cs="国标黑体" w:hAnsi="国标黑体" w:hint="eastAsia"/>
          <w:sz w:val="32"/>
          <w:szCs w:val="32"/>
        </w:rPr>
        <w:t>四、工作要求</w:t>
      </w:r>
    </w:p>
    <w:p>
      <w:pPr>
        <w:overflowPunct w:val="0"/>
        <w:spacing w:line="552" w:lineRule="exact"/>
        <w:ind w:firstLineChars="200" w:firstLine="640"/>
        <w:jc w:val="both"/>
        <w:rPr>
          <w:rFonts w:ascii="仿宋" w:eastAsia="仿宋_GB2312" w:cs="黑体" w:hAnsi="仿宋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(一)加强组织协同。</w:t>
      </w:r>
      <w:r>
        <w:rPr>
          <w:rFonts w:ascii="仿宋" w:eastAsia="仿宋_GB2312" w:cs="黑体" w:hAnsi="仿宋" w:hint="eastAsia"/>
          <w:sz w:val="32"/>
          <w:szCs w:val="32"/>
        </w:rPr>
        <w:t>建立市推进人工智能产业发展协调机制，统筹推动行动计划实施，组织开展创新应用示范项目建设。各县区、各部门要强化系统思维，统筹行业优势创新资源，抓好工作落实。深度融入京津冀发展格局，在大模型开发、场景应用、算力供给、数据集建设等方面深化合作，形成错位互补的产业发展格局。</w:t>
      </w:r>
    </w:p>
    <w:p>
      <w:pPr>
        <w:overflowPunct w:val="0"/>
        <w:spacing w:line="552" w:lineRule="exact"/>
        <w:ind w:firstLineChars="200" w:firstLine="640"/>
        <w:jc w:val="both"/>
        <w:rPr>
          <w:rFonts w:ascii="仿宋" w:eastAsia="仿宋_GB2312" w:cs="黑体" w:hAnsi="仿宋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(二)优化产业生态。</w:t>
      </w:r>
      <w:r>
        <w:rPr>
          <w:rFonts w:ascii="仿宋" w:eastAsia="仿宋_GB2312" w:cs="黑体" w:hAnsi="仿宋" w:hint="eastAsia"/>
          <w:sz w:val="32"/>
          <w:szCs w:val="32"/>
        </w:rPr>
        <w:t>支持人工智能创新应用技术攻关和创新产品研发。探索设立市级人工智能产业创投基金。利用超长期特别国债、新型政策性金融工具等政策，支持一批优质项目建设。组织开展创新应用示范项目建设。鼓励开展人工智能高水平展会、赛事、论坛等活动，搭建产业交流合作平台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(责任单位：市发改委、市数政局、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市科技局</w:t>
      </w:r>
      <w:r>
        <w:rPr>
          <w:rFonts w:ascii="国标楷体" w:eastAsia="国标楷体" w:cs="国标楷体" w:hAnsi="国标楷体" w:hint="eastAsia"/>
          <w:sz w:val="32"/>
          <w:szCs w:val="32"/>
        </w:rPr>
        <w:t>、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市外事商务局</w:t>
      </w:r>
      <w:r>
        <w:rPr>
          <w:rFonts w:ascii="国标楷体" w:eastAsia="国标楷体" w:cs="国标楷体" w:hAnsi="国标楷体" w:hint="eastAsia"/>
          <w:sz w:val="32"/>
          <w:szCs w:val="32"/>
        </w:rPr>
        <w:t>)</w:t>
      </w:r>
    </w:p>
    <w:p>
      <w:pPr>
        <w:overflowPunct w:val="0"/>
        <w:spacing w:line="552" w:lineRule="exact"/>
        <w:ind w:firstLineChars="200" w:firstLine="640"/>
        <w:jc w:val="both"/>
        <w:rPr>
          <w:rFonts w:ascii="国标楷体" w:eastAsia="国标楷体" w:cs="国标楷体" w:hAnsi="国标楷体" w:hint="eastAsia"/>
          <w:sz w:val="32"/>
          <w:szCs w:val="32"/>
        </w:rPr>
      </w:pPr>
      <w:r>
        <w:rPr>
          <w:rFonts w:ascii="国标楷体" w:eastAsia="国标楷体" w:cs="国标楷体" w:hAnsi="国标楷体" w:hint="eastAsia"/>
          <w:sz w:val="32"/>
          <w:szCs w:val="32"/>
        </w:rPr>
        <w:t>(三)加强安全监管。</w:t>
      </w:r>
      <w:r>
        <w:rPr>
          <w:rFonts w:ascii="仿宋" w:eastAsia="仿宋_GB2312" w:cs="黑体" w:hAnsi="仿宋" w:hint="eastAsia"/>
          <w:sz w:val="32"/>
          <w:szCs w:val="32"/>
        </w:rPr>
        <w:t>尊重人工智能产业发展规律，保障个人隐私和数据安全，依法防范和打击违法行为，构建安全有序发展环境。严格落实生成式人工智能服务分级分类管理及安全评测制度，支持第三方独立机构开展大模型应用常态化评测工作。优化完善大模型备案机制，做好大模型服务上线前和使用过程中的安全风险评估。</w:t>
      </w:r>
      <w:r>
        <w:rPr>
          <w:rFonts w:ascii="国标楷体" w:eastAsia="国标楷体" w:cs="国标楷体" w:hAnsi="国标楷体" w:hint="eastAsia"/>
          <w:sz w:val="32"/>
          <w:szCs w:val="32"/>
        </w:rPr>
        <w:t>(责任单位：市委网信办、市数政局</w:t>
      </w:r>
      <w:r>
        <w:rPr>
          <w:rFonts w:ascii="国标楷体" w:eastAsia="国标楷体" w:cs="国标楷体" w:hAnsi="国标楷体" w:hint="eastAsia"/>
          <w:sz w:val="32"/>
          <w:szCs w:val="32"/>
          <w:lang w:eastAsia="zh-CN"/>
        </w:rPr>
        <w:t>、市公安局</w:t>
      </w:r>
      <w:r>
        <w:rPr>
          <w:rFonts w:ascii="国标楷体" w:eastAsia="国标楷体" w:cs="国标楷体" w:hAnsi="国标楷体" w:hint="eastAsia"/>
          <w:sz w:val="32"/>
          <w:szCs w:val="32"/>
        </w:rPr>
        <w:t>）</w:t>
      </w:r>
    </w:p>
    <w:sectPr>
      <w:footerReference w:type="default" r:id="rId2"/>
      <w:footerReference w:type="even" r:id="rId3"/>
      <w:pgSz w:w="11906" w:h="16838"/>
      <w:pgMar w:top="2098" w:right="1474" w:bottom="1985" w:left="1588" w:header="851" w:footer="992" w:gutter="0"/>
      <w:cols w:num="1" w:space="425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variable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variable"/>
    <w:sig w:usb0="00000001" w:usb1="08000000" w:usb2="00000000" w:usb3="00000000" w:csb0="00060007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wordWrap w:val="0"/>
      <w:ind w:leftChars="100" w:left="240" w:rightChars="100" w:right="240"/>
      <w:jc w:val="right"/>
    </w:pPr>
    <w:r>
      <w:rPr>
        <w:rStyle w:val="18"/>
        <w:rFonts w:hAnsi="宋体" w:hint="eastAsia"/>
        <w:sz w:val="28"/>
        <w:szCs w:val="28"/>
      </w:rPr>
      <w:t xml:space="preserve">— </w:t>
    </w:r>
    <w:r>
      <w:rPr>
        <w:rStyle w:val="18"/>
        <w:rFonts w:hAnsi="宋体"/>
        <w:sz w:val="28"/>
        <w:szCs w:val="28"/>
      </w:rPr>
      <w:fldChar w:fldCharType="begin"/>
    </w:r>
    <w:r>
      <w:rPr>
        <w:rStyle w:val="18"/>
        <w:rFonts w:hAnsi="宋体"/>
        <w:sz w:val="28"/>
        <w:szCs w:val="28"/>
      </w:rPr>
      <w:instrText xml:space="preserve">PAGE  </w:instrText>
    </w:r>
    <w:r>
      <w:rPr>
        <w:rStyle w:val="18"/>
        <w:rFonts w:hAnsi="宋体"/>
        <w:sz w:val="28"/>
        <w:szCs w:val="28"/>
      </w:rPr>
      <w:fldChar w:fldCharType="separate"/>
    </w:r>
    <w:r>
      <w:rPr>
        <w:rStyle w:val="18"/>
        <w:rFonts w:hAnsi="宋体"/>
        <w:sz w:val="28"/>
        <w:szCs w:val="28"/>
      </w:rPr>
      <w:t>1</w:t>
    </w:r>
    <w:r>
      <w:rPr>
        <w:rStyle w:val="18"/>
        <w:rFonts w:hAnsi="宋体"/>
        <w:sz w:val="28"/>
        <w:szCs w:val="28"/>
      </w:rPr>
      <w:fldChar w:fldCharType="end"/>
    </w:r>
    <w:r>
      <w:rPr>
        <w:rStyle w:val="18"/>
        <w:rFonts w:hAnsi="宋体" w:hint="eastAsia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ind w:leftChars="100" w:left="240" w:rightChars="100" w:right="240"/>
    </w:pPr>
    <w:r>
      <w:rPr>
        <w:rStyle w:val="18"/>
        <w:rFonts w:hAnsi="宋体" w:hint="eastAsia"/>
        <w:sz w:val="28"/>
        <w:szCs w:val="28"/>
      </w:rPr>
      <w:t xml:space="preserve">— </w:t>
    </w:r>
    <w:r>
      <w:rPr>
        <w:rStyle w:val="18"/>
        <w:rFonts w:hAnsi="宋体"/>
        <w:sz w:val="28"/>
        <w:szCs w:val="28"/>
      </w:rPr>
      <w:fldChar w:fldCharType="begin"/>
    </w:r>
    <w:r>
      <w:rPr>
        <w:rStyle w:val="18"/>
        <w:rFonts w:hAnsi="宋体"/>
        <w:sz w:val="28"/>
        <w:szCs w:val="28"/>
      </w:rPr>
      <w:instrText xml:space="preserve">PAGE  </w:instrText>
    </w:r>
    <w:r>
      <w:rPr>
        <w:rStyle w:val="18"/>
        <w:rFonts w:hAnsi="宋体"/>
        <w:sz w:val="28"/>
        <w:szCs w:val="28"/>
      </w:rPr>
      <w:fldChar w:fldCharType="separate"/>
    </w:r>
    <w:r>
      <w:rPr>
        <w:rStyle w:val="18"/>
        <w:rFonts w:hAnsi="宋体"/>
        <w:sz w:val="28"/>
        <w:szCs w:val="28"/>
      </w:rPr>
      <w:t>2</w:t>
    </w:r>
    <w:r>
      <w:rPr>
        <w:rStyle w:val="18"/>
        <w:rFonts w:hAnsi="宋体"/>
        <w:sz w:val="28"/>
        <w:szCs w:val="28"/>
      </w:rPr>
      <w:fldChar w:fldCharType="end"/>
    </w:r>
    <w:r>
      <w:rPr>
        <w:rStyle w:val="18"/>
        <w:rFonts w:hAnsi="宋体" w:hint="eastAsia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evenAndOddHeaders/>
  <w:mirrorMargin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GEyZDc0YmY3ZWNkYjNmY2M1NmI5ZTg3ZWEzMDRiZT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7">
    <w:name w:val="Normal (Web)"/>
    <w:qFormat/>
    <w:basedOn w:val="0"/>
    <w:pPr>
      <w:spacing w:beforeAutospacing="1" w:afterAutospacing="1"/>
    </w:pPr>
    <w:rPr>
      <w:kern w:val="0"/>
    </w:rPr>
  </w:style>
  <w:style w:type="character" w:styleId="18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AE721CB8-B4D7-43DE-8149-5D0DDB56AF7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WPS_Yozo_Office9.0.5978.102ZH.HE59</Application>
  <Pages>10</Pages>
  <Words>0</Words>
  <Characters>4164</Characters>
  <Lines>0</Lines>
  <Paragraphs>35</Paragraphs>
  <CharactersWithSpaces>5552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XX</dc:creator>
  <cp:lastModifiedBy>Administrator</cp:lastModifiedBy>
  <cp:revision>21</cp:revision>
  <cp:lastPrinted>2025-11-19T07:50:00Z</cp:lastPrinted>
  <dcterms:created xsi:type="dcterms:W3CDTF">2022-03-07T22:47:00Z</dcterms:created>
  <dcterms:modified xsi:type="dcterms:W3CDTF">2025-11-19T08:24:16Z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2052-11.8.2.12333</vt:lpwstr>
  </property>
  <property fmtid="{D5CDD505-2E9C-101B-9397-08002B2CF9AE}" pid="3" name="ICV">
    <vt:lpwstr>93EA634907604A548F456A7F8EA8BC21_13</vt:lpwstr>
  </property>
  <property fmtid="{D5CDD505-2E9C-101B-9397-08002B2CF9AE}" pid="4" name="KSOTemplateDocerSaveRecord">
    <vt:lpwstr>eyJoZGlkIjoiZjg3ZGNiY2VkZGNiMDk5ZTU5NTYyOTA2ZmY1YzRiZDAiLCJ1c2VySWQiOiIxMzU1MDgwOTYifQ==</vt:lpwstr>
  </property>
</Properties>
</file>